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90"/>
      </w:tblGrid>
      <w:tr w:rsidR="00743448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743448" w:rsidRDefault="00870FD9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123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84"/>
        <w:gridCol w:w="381"/>
        <w:gridCol w:w="1500"/>
        <w:gridCol w:w="2461"/>
      </w:tblGrid>
      <w:tr w:rsidR="00743448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74344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743448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743448">
            <w:pPr>
              <w:rPr>
                <w:sz w:val="24"/>
              </w:rPr>
            </w:pPr>
          </w:p>
        </w:tc>
      </w:tr>
      <w:tr w:rsidR="00743448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743448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74344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743448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743448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743448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743448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2025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01.01.2025</w:t>
            </w:r>
          </w:p>
        </w:tc>
      </w:tr>
      <w:tr w:rsidR="00743448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74344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субъекта бюджетной отчетности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pacing w:line="30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ГРБС</w:t>
            </w:r>
          </w:p>
        </w:tc>
      </w:tr>
      <w:tr w:rsidR="00743448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743448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743448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743448">
            <w:pPr>
              <w:rPr>
                <w:sz w:val="20"/>
              </w:rPr>
            </w:pPr>
          </w:p>
        </w:tc>
      </w:tr>
      <w:tr w:rsidR="00743448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743448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84580439</w:t>
            </w:r>
          </w:p>
        </w:tc>
      </w:tr>
      <w:tr w:rsidR="00743448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743448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743448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743448">
            <w:pPr>
              <w:rPr>
                <w:sz w:val="20"/>
              </w:rPr>
            </w:pPr>
          </w:p>
        </w:tc>
      </w:tr>
      <w:tr w:rsidR="00743448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743448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743448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743448">
            <w:pPr>
              <w:rPr>
                <w:sz w:val="20"/>
              </w:rPr>
            </w:pPr>
          </w:p>
        </w:tc>
      </w:tr>
      <w:tr w:rsidR="00743448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Управление финансов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Белохолуницкого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муниципального района Кировской области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743448" w:rsidRDefault="00870FD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912</w:t>
            </w:r>
          </w:p>
        </w:tc>
      </w:tr>
      <w:tr w:rsidR="00743448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74344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743448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743448">
            <w:pPr>
              <w:rPr>
                <w:sz w:val="24"/>
              </w:rPr>
            </w:pPr>
          </w:p>
        </w:tc>
      </w:tr>
      <w:tr w:rsidR="00743448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Бюджет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Белохолуницкий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муниципальный район Кировской области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743448" w:rsidRDefault="00870FD9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33605000</w:t>
            </w:r>
          </w:p>
        </w:tc>
      </w:tr>
      <w:tr w:rsidR="00743448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74344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743448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743448">
            <w:pPr>
              <w:rPr>
                <w:sz w:val="24"/>
              </w:rPr>
            </w:pPr>
          </w:p>
        </w:tc>
      </w:tr>
      <w:tr w:rsidR="00743448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74344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743448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743448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74344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743448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743448">
            <w:pPr>
              <w:rPr>
                <w:sz w:val="24"/>
              </w:rPr>
            </w:pPr>
          </w:p>
        </w:tc>
      </w:tr>
      <w:tr w:rsidR="00743448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743448">
            <w:pPr>
              <w:rPr>
                <w:sz w:val="24"/>
              </w:rPr>
            </w:pPr>
          </w:p>
        </w:tc>
      </w:tr>
    </w:tbl>
    <w:p w:rsidR="00743448" w:rsidRDefault="00870FD9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1 «Организационная структура субъекта бюджетной </w:t>
      </w:r>
    </w:p>
    <w:p w:rsidR="00743448" w:rsidRDefault="00870FD9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отчетности» </w:t>
      </w:r>
    </w:p>
    <w:p w:rsidR="00743448" w:rsidRDefault="00870FD9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действующих органов местного самоуправления   и подведомственных им учреждений на конец отчетного года составило                      37 единиц, из них органов местного самоуправления - 6 единиц, муниципальных учреждений - 31 единицы, из которых: казенных учреждений – 25 единиц, бюджетных учреждений – 6 единиц.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43448" w:rsidRDefault="00870FD9" w:rsidP="00230873">
      <w:pPr>
        <w:spacing w:line="360" w:lineRule="auto"/>
        <w:ind w:firstLine="709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2 «Результаты деятельности субъекта бюджетной отчетности»</w:t>
      </w:r>
    </w:p>
    <w:p w:rsidR="00743448" w:rsidRDefault="00870FD9" w:rsidP="00230873">
      <w:pPr>
        <w:spacing w:line="360" w:lineRule="auto"/>
        <w:ind w:firstLine="709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бюджета муниципального района проводится в соответствии с полномочиями, установленными федеральным законом № 131-Ф от 06.10.2003 «Об общих принципах организации местного самоуправления в Российской Федерации», осуществляется исполнение отдельных переданных государственных полномочий Российской Федерации и Кировской области и бюджетов сельских поселений.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 Формирование бюджета по расходам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 исполнение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отчетном году  проводилось  в рамках программного бюджета и непрограммных мероприятий: исполнено расходов по муниципальным программам 99,8% от общего объема проведенных расходов и непрограммными мероприятиями по функционированию представительного органа 0,2%.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обеспечения полного и доступного информирования граждан о бюджетном процессе в муниципальном районе в процессе формирования и утверждения бюджета на 2025 год и годового отчета об исполнении бюджета муниципального района за 2023 год осуществлялась подготовка материалов в доступной для населения форме и размещение в сети Интернет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Белохолуницкого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Кировской области в виде «Бюджета для граждан» и социальных сетях.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итогам работы за 2024 год обеспечено соблюдение нормативов формирования расходов на содержание органов местного самоуправления по муниципальному району, утвержденных постановлением Правительства Кировской области от 27.12.2023 № 764-П «О нормативах формирования на 2024 год расходов на содержание органов местного самоуправления муниципальных образований Кировской области» (с учетом внесенных изменений). При нормативе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Белохолуницкому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муниципальному району 53 041 300,00 рублей расходы по содержанию органов местного самоуправления муниципального района проведены в сумме 52 355 865 рублей или 98,7% к нормативу. Численность работников органов местного самоуправления в муниципальном районе содержалась в пределах установленной предельной штатной численности. 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соблюдения установленных нормативов формирования расходов на содержание органов местного самоуправления финансовым органом ежеквартально в отчетном году проводился мониторинг расходов органов местного самоуправления района.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Расходование средств муниципальными бюджетными учреждениями осуществлялось на основании сформированных и доведенных до них заданий по предоставлению муниципальных услуг и работ в соответствии с общероссийскими перечнями государственных и муниципальных услуг и работ, оказываемых физическим лицам.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Доведенные муниципальные задания за 2024 год: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муниципальными бюджетными учреждениями культуры и муниципальным учреждением МБУ СКК «Здоровье» выполнены;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муниципальными бюджетными учреждениями дополнительного образования по отдельным направлениям услуг не выполнены, но в пределах допустимых значений.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отдельным учреждениям культуры наблюдается значительное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перевыполнение  показателей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задания: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МБУК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Белохолуницкая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центральная библиотека» - перевыполнение годового задания на 16,1%;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МБУК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Белохолуницкий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краеведческий музей» - перевыполнение годового задания на 26,0%.</w:t>
      </w:r>
    </w:p>
    <w:p w:rsidR="00743448" w:rsidRDefault="00870FD9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30873" w:rsidRDefault="00230873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30873" w:rsidRDefault="00230873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43448" w:rsidRDefault="00870FD9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3 </w:t>
      </w:r>
    </w:p>
    <w:p w:rsidR="00743448" w:rsidRDefault="00870FD9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«Анализ отчета об исполнении бюджета </w:t>
      </w:r>
    </w:p>
    <w:p w:rsidR="00743448" w:rsidRDefault="00870FD9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субъектом бюджетной отчетности»</w:t>
      </w:r>
    </w:p>
    <w:p w:rsidR="00743448" w:rsidRDefault="00870FD9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743448" w:rsidRDefault="00870FD9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ДОХОДЫ МУНИЦИПАЛЬНОГО РАЙОНА</w:t>
      </w:r>
    </w:p>
    <w:p w:rsidR="00743448" w:rsidRDefault="00870FD9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43448" w:rsidRDefault="00870FD9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Доходная часть бюджета муниципального района с учетом безвозмездных перечислений за 2024 год исполнена в сумме 762 099 278,96 рублей, или 99,60% к уточненному годовому плану.</w:t>
      </w:r>
    </w:p>
    <w:p w:rsidR="00743448" w:rsidRDefault="00870FD9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Причины отклонений процента исполнения по доходам бюджета муниципального района от доведенных показателей отражены в отчетности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главных администраторов доходов бюджета муниципального района (форма 0503164).</w:t>
      </w:r>
    </w:p>
    <w:p w:rsidR="00743448" w:rsidRDefault="00870FD9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показатели исполнения доходов бюджета муниципального района представлены в следующей таблице:</w:t>
      </w:r>
    </w:p>
    <w:p w:rsidR="00743448" w:rsidRDefault="00870FD9">
      <w:pPr>
        <w:spacing w:line="360" w:lineRule="auto"/>
        <w:ind w:firstLine="56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№1</w:t>
      </w:r>
    </w:p>
    <w:p w:rsidR="00743448" w:rsidRDefault="00870FD9">
      <w:pPr>
        <w:spacing w:line="360" w:lineRule="auto"/>
        <w:ind w:firstLine="56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</w:t>
      </w:r>
    </w:p>
    <w:tbl>
      <w:tblPr>
        <w:tblW w:w="939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8"/>
        <w:gridCol w:w="1816"/>
        <w:gridCol w:w="1816"/>
        <w:gridCol w:w="1646"/>
        <w:gridCol w:w="1774"/>
      </w:tblGrid>
      <w:tr w:rsidR="00743448">
        <w:trPr>
          <w:trHeight w:val="1025"/>
        </w:trPr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Уточненный прогноз на 2024 год</w:t>
            </w:r>
          </w:p>
        </w:tc>
        <w:tc>
          <w:tcPr>
            <w:tcW w:w="18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Исполнено за 2024 год</w:t>
            </w:r>
          </w:p>
        </w:tc>
        <w:tc>
          <w:tcPr>
            <w:tcW w:w="16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Отклонение (+;-)</w:t>
            </w:r>
          </w:p>
        </w:tc>
        <w:tc>
          <w:tcPr>
            <w:tcW w:w="17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исполнения</w:t>
            </w:r>
          </w:p>
        </w:tc>
      </w:tr>
      <w:tr w:rsidR="00743448">
        <w:trPr>
          <w:trHeight w:val="341"/>
        </w:trPr>
        <w:tc>
          <w:tcPr>
            <w:tcW w:w="23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151697808,00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149712194,68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-1985613,32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98,69%</w:t>
            </w:r>
          </w:p>
        </w:tc>
      </w:tr>
      <w:tr w:rsidR="00743448">
        <w:trPr>
          <w:trHeight w:val="341"/>
        </w:trPr>
        <w:tc>
          <w:tcPr>
            <w:tcW w:w="23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26528335,64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25862535,27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-665800,37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97,49%</w:t>
            </w:r>
          </w:p>
        </w:tc>
      </w:tr>
      <w:tr w:rsidR="00743448">
        <w:trPr>
          <w:trHeight w:val="341"/>
        </w:trPr>
        <w:tc>
          <w:tcPr>
            <w:tcW w:w="23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586921280,90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586524549,01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-396731,89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99,93%</w:t>
            </w:r>
          </w:p>
        </w:tc>
      </w:tr>
      <w:tr w:rsidR="00743448">
        <w:trPr>
          <w:trHeight w:val="341"/>
        </w:trPr>
        <w:tc>
          <w:tcPr>
            <w:tcW w:w="23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доходов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765147424,54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762099278,96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-3048145,58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99,60%</w:t>
            </w:r>
          </w:p>
        </w:tc>
      </w:tr>
    </w:tbl>
    <w:p w:rsidR="00743448" w:rsidRDefault="00870FD9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43448" w:rsidRDefault="00870FD9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Поступление собственных доходов (без учета безвозмездных поступлений) составило 175 574 729,95 рублей, или 98,51% к годовому плану, в том числе налоговых доходов – 149 712 194,68 рублей (98,69%); неналоговых доходов – 25 862 535,27 рублей (97,49%). </w:t>
      </w:r>
    </w:p>
    <w:p w:rsidR="00743448" w:rsidRDefault="00870FD9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структуре собственных доходов бюджета муниципального района налоговые доходы занимают 85,27%, неналоговые доходы – 14,73%. </w:t>
      </w:r>
    </w:p>
    <w:p w:rsidR="00743448" w:rsidRDefault="00870FD9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основных налоговых доходов бюджета муниципального района представлено в следующей таблице:</w:t>
      </w:r>
    </w:p>
    <w:p w:rsidR="00743448" w:rsidRDefault="00870FD9">
      <w:pPr>
        <w:spacing w:line="360" w:lineRule="auto"/>
        <w:ind w:firstLine="56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№2</w:t>
      </w:r>
    </w:p>
    <w:p w:rsidR="00743448" w:rsidRDefault="00870FD9">
      <w:pPr>
        <w:ind w:firstLine="56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</w:t>
      </w:r>
    </w:p>
    <w:tbl>
      <w:tblPr>
        <w:tblW w:w="9375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6"/>
        <w:gridCol w:w="2270"/>
        <w:gridCol w:w="1843"/>
        <w:gridCol w:w="1986"/>
      </w:tblGrid>
      <w:tr w:rsidR="00743448">
        <w:trPr>
          <w:trHeight w:val="880"/>
        </w:trPr>
        <w:tc>
          <w:tcPr>
            <w:tcW w:w="3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Уточненный прогноз на 2024 год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Исполнено за 2024 год</w:t>
            </w:r>
          </w:p>
        </w:tc>
        <w:tc>
          <w:tcPr>
            <w:tcW w:w="19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исполнения</w:t>
            </w:r>
          </w:p>
        </w:tc>
      </w:tr>
      <w:tr w:rsidR="00743448">
        <w:trPr>
          <w:trHeight w:val="567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Налоговые доходы всего, в том числе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151697808,00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149712194,68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98,69%</w:t>
            </w:r>
          </w:p>
        </w:tc>
      </w:tr>
      <w:tr w:rsidR="00743448">
        <w:trPr>
          <w:trHeight w:val="561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51630700,00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49440990,02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95,76%</w:t>
            </w:r>
          </w:p>
        </w:tc>
      </w:tr>
      <w:tr w:rsidR="00743448">
        <w:trPr>
          <w:trHeight w:val="360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Акцизы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5004600,00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5366394,43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107,23%</w:t>
            </w:r>
          </w:p>
        </w:tc>
      </w:tr>
      <w:tr w:rsidR="00743448">
        <w:trPr>
          <w:trHeight w:val="414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90018508,00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89626851,07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99,56%</w:t>
            </w:r>
          </w:p>
        </w:tc>
      </w:tr>
      <w:tr w:rsidR="00743448" w:rsidTr="00230873">
        <w:trPr>
          <w:trHeight w:val="552"/>
        </w:trPr>
        <w:tc>
          <w:tcPr>
            <w:tcW w:w="3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Налог на имущество организаций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2333000,00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2387926,35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102,35%</w:t>
            </w:r>
          </w:p>
        </w:tc>
      </w:tr>
      <w:tr w:rsidR="00743448">
        <w:trPr>
          <w:trHeight w:val="360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2711000,00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2890032,81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106,60%</w:t>
            </w:r>
          </w:p>
        </w:tc>
      </w:tr>
    </w:tbl>
    <w:p w:rsidR="00743448" w:rsidRDefault="00870FD9">
      <w:pPr>
        <w:spacing w:line="360" w:lineRule="auto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43448" w:rsidRDefault="00870FD9">
      <w:pPr>
        <w:spacing w:line="360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Показатели исполнения основных неналоговых доходов бюджета муниципального района представлены в следующее таблице:</w:t>
      </w:r>
    </w:p>
    <w:p w:rsidR="00743448" w:rsidRDefault="00870FD9">
      <w:pPr>
        <w:ind w:firstLine="86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№3</w:t>
      </w:r>
    </w:p>
    <w:p w:rsidR="00743448" w:rsidRDefault="00870FD9">
      <w:pPr>
        <w:ind w:firstLine="86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43448" w:rsidRDefault="00230873" w:rsidP="00230873">
      <w:pPr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</w:t>
      </w:r>
      <w:r w:rsidR="00870FD9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</w:t>
      </w:r>
    </w:p>
    <w:tbl>
      <w:tblPr>
        <w:tblW w:w="9675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6"/>
        <w:gridCol w:w="2270"/>
        <w:gridCol w:w="2286"/>
        <w:gridCol w:w="1843"/>
      </w:tblGrid>
      <w:tr w:rsidR="00743448" w:rsidTr="00230873">
        <w:trPr>
          <w:trHeight w:val="1080"/>
        </w:trPr>
        <w:tc>
          <w:tcPr>
            <w:tcW w:w="3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Уточненный прогноз на 2024 год</w:t>
            </w:r>
          </w:p>
        </w:tc>
        <w:tc>
          <w:tcPr>
            <w:tcW w:w="22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Исполнено за 2024 год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 исполнения</w:t>
            </w:r>
          </w:p>
        </w:tc>
      </w:tr>
      <w:tr w:rsidR="00743448" w:rsidTr="00230873">
        <w:trPr>
          <w:trHeight w:val="627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Неналоговые доходы всего, в том числе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26528335,64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25862535,27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97,49%</w:t>
            </w:r>
          </w:p>
        </w:tc>
      </w:tr>
      <w:tr w:rsidR="00743448" w:rsidTr="00230873">
        <w:trPr>
          <w:trHeight w:val="779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3493000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3679169,79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105,33%</w:t>
            </w:r>
          </w:p>
        </w:tc>
      </w:tr>
      <w:tr w:rsidR="00743448" w:rsidTr="00230873">
        <w:trPr>
          <w:trHeight w:val="760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556700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394574,75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70,88%</w:t>
            </w:r>
          </w:p>
        </w:tc>
      </w:tr>
      <w:tr w:rsidR="00743448" w:rsidTr="00230873">
        <w:trPr>
          <w:trHeight w:val="842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13822548,45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13849180,26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100,19%</w:t>
            </w:r>
          </w:p>
        </w:tc>
      </w:tr>
      <w:tr w:rsidR="00743448" w:rsidTr="00230873">
        <w:trPr>
          <w:trHeight w:val="699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4497500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3721703,11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82,75%</w:t>
            </w:r>
          </w:p>
        </w:tc>
      </w:tr>
      <w:tr w:rsidR="00743448" w:rsidTr="00230873">
        <w:trPr>
          <w:trHeight w:val="549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3040992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3100313,37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101,95%</w:t>
            </w:r>
          </w:p>
        </w:tc>
      </w:tr>
      <w:tr w:rsidR="00743448" w:rsidTr="00230873">
        <w:trPr>
          <w:trHeight w:val="360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1117595,19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1117593,99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100,00%</w:t>
            </w:r>
          </w:p>
        </w:tc>
      </w:tr>
    </w:tbl>
    <w:p w:rsidR="00743448" w:rsidRDefault="00870FD9">
      <w:pPr>
        <w:ind w:firstLine="86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30873" w:rsidRDefault="00230873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43448" w:rsidRDefault="00870FD9">
      <w:pPr>
        <w:spacing w:line="360" w:lineRule="auto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Объем безвозмездных поступлений за 2024 год составил 586 524 549,01 рублей или 99,93% к уточненным прогнозным показателям, в том числе безвозмездных поступлений от других бюджетов – 586 436 907,54 рублей (99,93%), из него дотаций – 132 803 500,0 рублей (100,00%), субвенций – 183 476 711,43 рублей (99,79%), субсидий – 237 891 600,31 рублей (100,0%), иных межбюджетных трансфертов – 32 265 095,80 рублей (99,94%).</w:t>
      </w:r>
    </w:p>
    <w:p w:rsidR="00743448" w:rsidRDefault="00870FD9">
      <w:pPr>
        <w:spacing w:line="360" w:lineRule="auto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                </w:t>
      </w:r>
    </w:p>
    <w:p w:rsidR="00743448" w:rsidRDefault="00870FD9" w:rsidP="00230873">
      <w:pPr>
        <w:spacing w:line="360" w:lineRule="auto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РАСХОДЫ МУНИЦИПАЛЬНОГО РАЙОНА</w:t>
      </w:r>
    </w:p>
    <w:p w:rsidR="00743448" w:rsidRDefault="00870FD9">
      <w:pPr>
        <w:spacing w:line="36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43448" w:rsidRDefault="00870FD9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 муниципального района за 2024 год по расходам исполнен в сумме 765 689 795,49 рублей при уточненном годовом плане 769 431 170,47 рублей, или на 99,5%. </w:t>
      </w:r>
    </w:p>
    <w:tbl>
      <w:tblPr>
        <w:tblW w:w="9594" w:type="dxa"/>
        <w:tblInd w:w="96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6"/>
        <w:gridCol w:w="850"/>
        <w:gridCol w:w="1560"/>
        <w:gridCol w:w="1482"/>
        <w:gridCol w:w="927"/>
        <w:gridCol w:w="1418"/>
        <w:gridCol w:w="901"/>
      </w:tblGrid>
      <w:tr w:rsidR="00743448" w:rsidTr="00835C13">
        <w:trPr>
          <w:trHeight w:val="912"/>
        </w:trPr>
        <w:tc>
          <w:tcPr>
            <w:tcW w:w="959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30873" w:rsidRDefault="00870FD9" w:rsidP="00230873">
            <w:pPr>
              <w:spacing w:line="360" w:lineRule="auto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Структура расходов бюджета муниципального района по разделам и подразделам классификации расходов бюджетов за 2024 год приведена в таблице</w:t>
            </w:r>
          </w:p>
          <w:p w:rsidR="00743448" w:rsidRDefault="00870FD9" w:rsidP="00230873">
            <w:pPr>
              <w:spacing w:line="360" w:lineRule="auto"/>
              <w:ind w:firstLine="620"/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Рублей </w:t>
            </w:r>
          </w:p>
        </w:tc>
      </w:tr>
      <w:tr w:rsidR="00743448" w:rsidTr="00835C13">
        <w:trPr>
          <w:trHeight w:val="1152"/>
        </w:trPr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4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Исполнено 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 исполнения (%)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Отклонение в сумме</w:t>
            </w:r>
          </w:p>
        </w:tc>
        <w:tc>
          <w:tcPr>
            <w:tcW w:w="9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Удельный вес в расходах</w:t>
            </w:r>
          </w:p>
        </w:tc>
      </w:tr>
      <w:tr w:rsidR="00743448" w:rsidTr="00835C13">
        <w:trPr>
          <w:trHeight w:val="374"/>
        </w:trPr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65 031 838,65</w:t>
            </w:r>
          </w:p>
        </w:tc>
        <w:tc>
          <w:tcPr>
            <w:tcW w:w="14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64 733 020,69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99,54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-298 817,96</w:t>
            </w:r>
          </w:p>
        </w:tc>
        <w:tc>
          <w:tcPr>
            <w:tcW w:w="9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8,5</w:t>
            </w:r>
          </w:p>
        </w:tc>
      </w:tr>
      <w:tr w:rsidR="00743448" w:rsidTr="00835C13">
        <w:trPr>
          <w:trHeight w:val="612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 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3 235 110,00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3 219 914,33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-15 195,67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</w:tr>
      <w:tr w:rsidR="00743448" w:rsidTr="00835C13">
        <w:trPr>
          <w:trHeight w:val="816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 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174 240,00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167 380,00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-6 860,00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43448" w:rsidTr="00835C13">
        <w:trPr>
          <w:trHeight w:val="816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0104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45 117 624,65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44 913 312,88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-204 311,77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5,9</w:t>
            </w:r>
          </w:p>
        </w:tc>
      </w:tr>
      <w:tr w:rsidR="00743448" w:rsidTr="00835C13">
        <w:trPr>
          <w:trHeight w:val="288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1 900,00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43448" w:rsidTr="00835C13">
        <w:trPr>
          <w:trHeight w:val="612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1 256 100,00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1 256 004,23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-95,77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743448" w:rsidTr="00835C13">
        <w:trPr>
          <w:trHeight w:val="612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43448" w:rsidTr="00835C13">
        <w:trPr>
          <w:trHeight w:val="483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14 996 864,00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14 924 509,25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-72 354,75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</w:tr>
      <w:tr w:rsidR="00743448" w:rsidTr="00835C13">
        <w:trPr>
          <w:trHeight w:val="288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12 664,80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63,32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-7 335,20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</w:tr>
      <w:tr w:rsidR="00743448" w:rsidTr="00835C13">
        <w:trPr>
          <w:trHeight w:val="288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0204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12 664,80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-7 335,20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43448" w:rsidTr="00835C13">
        <w:trPr>
          <w:trHeight w:val="288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4 424 850,00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4 409 568,82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99,65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-15 281,18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0,6</w:t>
            </w:r>
          </w:p>
        </w:tc>
      </w:tr>
      <w:tr w:rsidR="00743448" w:rsidTr="00835C13">
        <w:trPr>
          <w:trHeight w:val="576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4 246 850,00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4 246 568,82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-281,18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</w:tr>
      <w:tr w:rsidR="00743448" w:rsidTr="00835C13">
        <w:trPr>
          <w:trHeight w:val="288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178 000,00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163 000,00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-15 000,00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43448" w:rsidTr="00835C13">
        <w:trPr>
          <w:trHeight w:val="408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42 445 383,00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42 392 391,68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99,88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-52 991,32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5,5</w:t>
            </w:r>
          </w:p>
        </w:tc>
      </w:tr>
      <w:tr w:rsidR="00743448" w:rsidTr="00835C13">
        <w:trPr>
          <w:trHeight w:val="288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6 030 000,00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6 030 000,00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</w:tr>
      <w:tr w:rsidR="00743448" w:rsidTr="00835C13">
        <w:trPr>
          <w:trHeight w:val="288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Дорожное хозяйство (дорожные фонды)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36 188 133,00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36 141 931,18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-46 201,82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4,7</w:t>
            </w:r>
          </w:p>
        </w:tc>
      </w:tr>
      <w:tr w:rsidR="00743448" w:rsidTr="00835C13">
        <w:trPr>
          <w:trHeight w:val="288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227 250,00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220 460,50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-6 789,50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43448" w:rsidTr="00230873">
        <w:trPr>
          <w:trHeight w:val="288"/>
        </w:trPr>
        <w:tc>
          <w:tcPr>
            <w:tcW w:w="245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2 583 480,00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2 583 129,02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99,99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-350,98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0,3</w:t>
            </w:r>
          </w:p>
        </w:tc>
      </w:tr>
      <w:tr w:rsidR="00743448" w:rsidTr="00835C13">
        <w:trPr>
          <w:trHeight w:val="288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1 831 720,00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1 831 639,94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-80,06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743448" w:rsidTr="00835C13">
        <w:trPr>
          <w:trHeight w:val="288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751 760,00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751 489,08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-270,92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743448" w:rsidTr="00835C13">
        <w:trPr>
          <w:trHeight w:val="288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2 678 885,83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2 678 885,83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0,3</w:t>
            </w:r>
          </w:p>
        </w:tc>
      </w:tr>
      <w:tr w:rsidR="00743448" w:rsidTr="00835C13">
        <w:trPr>
          <w:trHeight w:val="288"/>
        </w:trPr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2 678 885,83</w:t>
            </w:r>
          </w:p>
        </w:tc>
        <w:tc>
          <w:tcPr>
            <w:tcW w:w="14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2 678 885,83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743448" w:rsidTr="00835C13">
        <w:trPr>
          <w:trHeight w:val="288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389 254 733,00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387 435 246,08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99,53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-1 819 486,92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50,6</w:t>
            </w:r>
          </w:p>
        </w:tc>
      </w:tr>
      <w:tr w:rsidR="00743448" w:rsidTr="00835C13">
        <w:trPr>
          <w:trHeight w:val="288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106 271 421,43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105 458 886,92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-812 534,51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13,8</w:t>
            </w:r>
          </w:p>
        </w:tc>
      </w:tr>
      <w:tr w:rsidR="00743448" w:rsidTr="00835C13">
        <w:trPr>
          <w:trHeight w:val="288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210 372 013,63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209 722 022,75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-649 990,88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27,4</w:t>
            </w:r>
          </w:p>
        </w:tc>
      </w:tr>
      <w:tr w:rsidR="00743448" w:rsidTr="00835C13">
        <w:trPr>
          <w:trHeight w:val="288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51 906 429,95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51 554 706,02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-351 723,93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</w:tr>
      <w:tr w:rsidR="00743448" w:rsidTr="00835C13">
        <w:trPr>
          <w:trHeight w:val="288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200 877,00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200 860,00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-17,00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43448" w:rsidTr="00835C13">
        <w:trPr>
          <w:trHeight w:val="288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478 179,72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477 937,02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-242,70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743448" w:rsidTr="00835C13">
        <w:trPr>
          <w:trHeight w:val="288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20 025 811,27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20 020 833,37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-4 977,90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</w:t>
            </w:r>
          </w:p>
        </w:tc>
      </w:tr>
      <w:tr w:rsidR="00743448" w:rsidTr="00835C13">
        <w:trPr>
          <w:trHeight w:val="408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169 338 501,49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168 854 532,70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99,71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-483 968,79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22,1</w:t>
            </w:r>
          </w:p>
        </w:tc>
      </w:tr>
      <w:tr w:rsidR="00743448" w:rsidTr="00835C13">
        <w:trPr>
          <w:trHeight w:val="288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141 478 944,49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141 070 776,64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-408 167,85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18,4</w:t>
            </w:r>
          </w:p>
        </w:tc>
      </w:tr>
      <w:tr w:rsidR="00743448" w:rsidTr="00835C13">
        <w:trPr>
          <w:trHeight w:val="288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27 859 557,00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27 783 756,06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-75 800,94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</w:t>
            </w:r>
          </w:p>
        </w:tc>
      </w:tr>
      <w:tr w:rsidR="00743448" w:rsidTr="00835C13">
        <w:trPr>
          <w:trHeight w:val="288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20 307 550,00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19 922 155,56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98,10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-385 394,44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2,6</w:t>
            </w:r>
          </w:p>
        </w:tc>
      </w:tr>
      <w:tr w:rsidR="00743448" w:rsidTr="00835C13">
        <w:trPr>
          <w:trHeight w:val="288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1 336 600,00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1 327 497,46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-9 102,54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743448" w:rsidTr="00835C13">
        <w:trPr>
          <w:trHeight w:val="288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9 887 000,00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9 617 591,12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-269 408,88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</w:tr>
      <w:tr w:rsidR="00743448" w:rsidTr="00835C13">
        <w:trPr>
          <w:trHeight w:val="288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9 063 900,00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8 957 064,51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-106 835,49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</w:tr>
      <w:tr w:rsidR="00743448" w:rsidTr="00835C13">
        <w:trPr>
          <w:trHeight w:val="288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20 050,00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20 002,47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-47,53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43448" w:rsidTr="00835C13">
        <w:trPr>
          <w:trHeight w:val="288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28 599 073,50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28 128 653,67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98,36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-470 419,83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3,7</w:t>
            </w:r>
          </w:p>
        </w:tc>
      </w:tr>
      <w:tr w:rsidR="00743448" w:rsidTr="00230873">
        <w:trPr>
          <w:trHeight w:val="288"/>
        </w:trPr>
        <w:tc>
          <w:tcPr>
            <w:tcW w:w="245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10 818 495,00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10 689 230,24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98,81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-129 264,76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</w:tr>
      <w:tr w:rsidR="00743448" w:rsidTr="00835C13">
        <w:trPr>
          <w:trHeight w:val="288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1103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17 780 578,50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17 439 423,43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</w:tr>
      <w:tr w:rsidR="00743448" w:rsidTr="00835C13">
        <w:trPr>
          <w:trHeight w:val="288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Обслуживание  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2 824 056,00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2 616 727,64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92,66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-207 328,36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0,3</w:t>
            </w:r>
          </w:p>
        </w:tc>
      </w:tr>
      <w:tr w:rsidR="00743448" w:rsidTr="00835C13">
        <w:trPr>
          <w:trHeight w:val="288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внутреннего  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2 824 056,00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2 616 727,64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-207 328,36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743448" w:rsidTr="00835C13">
        <w:trPr>
          <w:trHeight w:val="288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 Межбюджетные  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41 922 819,00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41 922 819,00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5,5</w:t>
            </w:r>
          </w:p>
        </w:tc>
      </w:tr>
      <w:tr w:rsidR="00743448" w:rsidTr="00835C13">
        <w:trPr>
          <w:trHeight w:val="576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8 338 600,00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8 338 600,00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</w:tr>
      <w:tr w:rsidR="00743448" w:rsidTr="00835C13">
        <w:trPr>
          <w:trHeight w:val="325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1402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44 919,00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44 919,00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43448" w:rsidTr="00835C13">
        <w:trPr>
          <w:trHeight w:val="408"/>
        </w:trPr>
        <w:tc>
          <w:tcPr>
            <w:tcW w:w="24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33 539 300,00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33 539 300,00</w:t>
            </w:r>
          </w:p>
        </w:tc>
        <w:tc>
          <w:tcPr>
            <w:tcW w:w="9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4,4</w:t>
            </w:r>
          </w:p>
        </w:tc>
      </w:tr>
      <w:tr w:rsidR="00743448" w:rsidTr="00835C13">
        <w:trPr>
          <w:trHeight w:val="363"/>
        </w:trPr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769 431 170,47</w:t>
            </w:r>
          </w:p>
        </w:tc>
        <w:tc>
          <w:tcPr>
            <w:tcW w:w="14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765 689 795,49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99,51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-3 741 374,98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100,0</w:t>
            </w:r>
          </w:p>
        </w:tc>
      </w:tr>
    </w:tbl>
    <w:p w:rsidR="00743448" w:rsidRDefault="00870FD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743448" w:rsidRDefault="00870FD9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Ниже среднего исполнения (менее 95,0% к плановым назначениям и по сумме неисполненных назначений по состоянию на конец года выше    100 000,00 рублей) сложились расходы по подразделу 1301 «Обслуживание государственного и муниципального долга» - 92,7% и   не освоение в сумме 207 328,36 рублей по причине привлечения краткосрочных бюджетных кредитов федерального бюджета в течении года и соответственно сложившейся экономии по оплате расходов по обслуживанию муниципального долга.</w:t>
      </w:r>
    </w:p>
    <w:p w:rsidR="00743448" w:rsidRDefault="00870FD9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отчетном году наибольший удельный вес в разрезе видов расходов на выплаты персоналу в целях обеспечения выполнения функций муниципальными органами местного самоуправления, казенными и бюджетными  учреждениями (46,1%), предоставление субсидий бюджетным, автономным учреждениям и иным некоммерческим организациям (25,5%), расходы на закупку товаров, работ и услуг для обеспечения муниципальных нужд (18,4%), предоставление субсидий бюджетным, автономным учреждениям и иным некоммерческим организациям (19,5%). Данные виды расходов составили 90,0 % от всех произведенных расходов. </w:t>
      </w:r>
    </w:p>
    <w:p w:rsidR="00743448" w:rsidRDefault="00870FD9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Структура расходов бюджета муниципального района в разрезе видов расходов за 2024 год приведена в таблице:</w:t>
      </w:r>
    </w:p>
    <w:p w:rsidR="00743448" w:rsidRDefault="00870FD9" w:rsidP="00835C13">
      <w:pPr>
        <w:spacing w:line="360" w:lineRule="auto"/>
        <w:ind w:firstLine="56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рублей</w:t>
      </w:r>
    </w:p>
    <w:tbl>
      <w:tblPr>
        <w:tblW w:w="9521" w:type="dxa"/>
        <w:tblInd w:w="108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33"/>
        <w:gridCol w:w="990"/>
        <w:gridCol w:w="1658"/>
        <w:gridCol w:w="1587"/>
        <w:gridCol w:w="1221"/>
        <w:gridCol w:w="1132"/>
      </w:tblGrid>
      <w:tr w:rsidR="00743448" w:rsidTr="00230873">
        <w:tc>
          <w:tcPr>
            <w:tcW w:w="2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Виды расходов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5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Исполнено </w:t>
            </w:r>
          </w:p>
        </w:tc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Процент исполнения (%)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3448" w:rsidRDefault="00870FD9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Удельный вес в расходах</w:t>
            </w:r>
          </w:p>
        </w:tc>
      </w:tr>
      <w:tr w:rsidR="00743448" w:rsidTr="00230873">
        <w:tc>
          <w:tcPr>
            <w:tcW w:w="2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000 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769 431 170,47</w:t>
            </w:r>
          </w:p>
        </w:tc>
        <w:tc>
          <w:tcPr>
            <w:tcW w:w="15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765 689 795,49</w:t>
            </w:r>
          </w:p>
        </w:tc>
        <w:tc>
          <w:tcPr>
            <w:tcW w:w="12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99,51</w:t>
            </w:r>
          </w:p>
        </w:tc>
        <w:tc>
          <w:tcPr>
            <w:tcW w:w="11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100,0</w:t>
            </w:r>
          </w:p>
        </w:tc>
      </w:tr>
      <w:tr w:rsidR="00743448" w:rsidTr="00230873">
        <w:tc>
          <w:tcPr>
            <w:tcW w:w="29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353 073 328,70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352 718 402,78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46,1</w:t>
            </w:r>
          </w:p>
        </w:tc>
      </w:tr>
      <w:tr w:rsidR="00743448" w:rsidTr="00230873">
        <w:trPr>
          <w:trHeight w:val="285"/>
        </w:trPr>
        <w:tc>
          <w:tcPr>
            <w:tcW w:w="29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143 321 723,92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141 034 719,64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18,4</w:t>
            </w:r>
          </w:p>
        </w:tc>
      </w:tr>
      <w:tr w:rsidR="00743448" w:rsidTr="00230873">
        <w:tc>
          <w:tcPr>
            <w:tcW w:w="29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14 519 173,90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14 392 242,90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99,13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</w:t>
            </w:r>
          </w:p>
        </w:tc>
      </w:tr>
      <w:tr w:rsidR="00743448" w:rsidTr="00230873">
        <w:tc>
          <w:tcPr>
            <w:tcW w:w="29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6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705 500,00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705 500,00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743448" w:rsidTr="00230873">
        <w:tc>
          <w:tcPr>
            <w:tcW w:w="29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48 753 237,83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48 753 237,83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6,4</w:t>
            </w:r>
          </w:p>
        </w:tc>
      </w:tr>
      <w:tr w:rsidR="00743448" w:rsidTr="00230873">
        <w:tc>
          <w:tcPr>
            <w:tcW w:w="2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195 806 055,72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195 057 801,22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25,5</w:t>
            </w:r>
          </w:p>
        </w:tc>
      </w:tr>
      <w:tr w:rsidR="00743448" w:rsidTr="00230873">
        <w:tc>
          <w:tcPr>
            <w:tcW w:w="29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6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2 824 056,00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2 616 727,64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92,66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743448" w:rsidTr="00230873">
        <w:tc>
          <w:tcPr>
            <w:tcW w:w="293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10 428 094,40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10 411 163,48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</w:tr>
    </w:tbl>
    <w:p w:rsidR="00743448" w:rsidRDefault="00870FD9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43448" w:rsidRDefault="00870FD9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2024 году за счет средств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бюджета  муниципального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осуществлялась реализация мероприятий двух национальных проектов: </w:t>
      </w:r>
    </w:p>
    <w:p w:rsidR="00743448" w:rsidRDefault="00870FD9" w:rsidP="00230873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«Образование»: </w:t>
      </w:r>
    </w:p>
    <w:p w:rsidR="00743448" w:rsidRDefault="00870FD9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федерального проекта «Патриотическое воспитание граждан Российской Федерации» - на оплату труда с начислениями советников в общеобразовательных учреждениях (школы);</w:t>
      </w:r>
    </w:p>
    <w:p w:rsidR="00743448" w:rsidRDefault="00870FD9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второго федерального проекта «Современная школа» - на подготовку образовательного пространства для создания центра образования естественно-научной и технологической направленностей «Точка роста» в 6 муниципальных общеобразовательных учреждениях (МКОУ СОШ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пос.Дубровка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с.Всехсвятское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с.Троица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МКОУ ООШ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с.Сырьяны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Ракалово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МКОУ ОШИ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д.Гуренки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743448" w:rsidRDefault="00870FD9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третьего федерального проекта «Успех каждого ребенка» - на создание спортивного клуба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 МКОУ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СОШс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УИОП им.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Десяткова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43448" w:rsidRDefault="00870FD9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четвертого федерального проекта «Развитие системы поддержки молодежи («Молодежь России»)» на ремонт помещения для организации досуга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молодежи  «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Отличное место»;</w:t>
      </w:r>
    </w:p>
    <w:p w:rsidR="00743448" w:rsidRDefault="00870FD9">
      <w:pPr>
        <w:numPr>
          <w:ilvl w:val="0"/>
          <w:numId w:val="2"/>
        </w:numPr>
        <w:spacing w:line="360" w:lineRule="auto"/>
        <w:ind w:left="10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«Культура»: </w:t>
      </w:r>
    </w:p>
    <w:p w:rsidR="00743448" w:rsidRDefault="00870FD9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рамках федерального проекта «Культурная среда» на капитальный ремонт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Белохолуницкой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детской школы искусств г. Белая Холуница и здания дома культуры 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Всехсвятское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43448" w:rsidRDefault="00870FD9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в рамках федерального проекта «Творческие люди» на поддержку лучшего учреждения культуры и лучшего работника сельского учреждения культуры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Поломский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Дом культуры).</w:t>
      </w:r>
    </w:p>
    <w:p w:rsidR="00743448" w:rsidRDefault="00870FD9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итогам 2024 года кассовые расходы на реализацию данных национальных проектов проведены в полном объеме плановых ассигнований или на 100,0% от запланированного объема средств (36 293 751,60 рублей), из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которых целевые средства федерального бюджета составили 31 752 110,66 рублей, областного бюджета – 5 168 179,34 рублей, бюджета муниципального района – 373 461,60 рублей.</w:t>
      </w:r>
    </w:p>
    <w:p w:rsidR="00743448" w:rsidRDefault="00870FD9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расходов в разрезе национальных проектов за 2024 год приведено в таблице:</w:t>
      </w:r>
    </w:p>
    <w:p w:rsidR="00743448" w:rsidRDefault="00870FD9">
      <w:pP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</w:t>
      </w:r>
    </w:p>
    <w:tbl>
      <w:tblPr>
        <w:tblW w:w="9680" w:type="dxa"/>
        <w:tblInd w:w="-10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2"/>
        <w:gridCol w:w="1979"/>
        <w:gridCol w:w="1838"/>
        <w:gridCol w:w="1221"/>
      </w:tblGrid>
      <w:tr w:rsidR="00743448" w:rsidTr="00230873">
        <w:trPr>
          <w:trHeight w:val="778"/>
        </w:trPr>
        <w:tc>
          <w:tcPr>
            <w:tcW w:w="4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национального проекта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Кассовый расход</w:t>
            </w:r>
          </w:p>
        </w:tc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Процент исполнения (%)</w:t>
            </w:r>
          </w:p>
        </w:tc>
      </w:tr>
      <w:tr w:rsidR="00743448" w:rsidTr="00230873">
        <w:trPr>
          <w:trHeight w:val="205"/>
        </w:trPr>
        <w:tc>
          <w:tcPr>
            <w:tcW w:w="46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«Образование»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6 345 060,00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6 345 059,60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100,00</w:t>
            </w:r>
          </w:p>
        </w:tc>
      </w:tr>
      <w:tr w:rsidR="00743448" w:rsidTr="00230873">
        <w:trPr>
          <w:trHeight w:val="205"/>
        </w:trPr>
        <w:tc>
          <w:tcPr>
            <w:tcW w:w="46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1 525 000,00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1 525 000,00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743448" w:rsidTr="00230873">
        <w:trPr>
          <w:trHeight w:val="205"/>
        </w:trPr>
        <w:tc>
          <w:tcPr>
            <w:tcW w:w="46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проект «Современная школа»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1 818 600,00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1 818 600,00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43448" w:rsidTr="00230873">
        <w:trPr>
          <w:trHeight w:val="48"/>
        </w:trPr>
        <w:tc>
          <w:tcPr>
            <w:tcW w:w="46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проект «Успех каждого ребенка»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1 486 500,00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1 486 500,00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43448" w:rsidTr="00230873">
        <w:trPr>
          <w:trHeight w:val="205"/>
        </w:trPr>
        <w:tc>
          <w:tcPr>
            <w:tcW w:w="46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проект "Развитие системы поддержки молодежи ("Молодежь России")"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1 514 960,00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1 514 959,60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43448" w:rsidTr="00230873">
        <w:trPr>
          <w:trHeight w:val="205"/>
        </w:trPr>
        <w:tc>
          <w:tcPr>
            <w:tcW w:w="46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«Культура»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29 948 782,00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29 948 692,00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100,0</w:t>
            </w:r>
          </w:p>
        </w:tc>
      </w:tr>
      <w:tr w:rsidR="00743448" w:rsidTr="00230873">
        <w:trPr>
          <w:trHeight w:val="205"/>
        </w:trPr>
        <w:tc>
          <w:tcPr>
            <w:tcW w:w="46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проект «Культурная среда»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29 787 502,00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29 787 502,00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43448" w:rsidTr="00230873">
        <w:trPr>
          <w:trHeight w:val="68"/>
        </w:trPr>
        <w:tc>
          <w:tcPr>
            <w:tcW w:w="46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проект «Творческие люди»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161 280,00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161 190,00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99,94</w:t>
            </w:r>
          </w:p>
        </w:tc>
      </w:tr>
      <w:tr w:rsidR="00743448" w:rsidTr="00230873">
        <w:trPr>
          <w:trHeight w:val="375"/>
        </w:trPr>
        <w:tc>
          <w:tcPr>
            <w:tcW w:w="46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36 293 842,00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36 293 751,60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3448" w:rsidRDefault="00870FD9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100,0</w:t>
            </w:r>
          </w:p>
        </w:tc>
      </w:tr>
    </w:tbl>
    <w:p w:rsidR="00743448" w:rsidRDefault="00870FD9">
      <w:pPr>
        <w:spacing w:after="120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743448" w:rsidRDefault="00870FD9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отчетного года расходные обязательства по выплате заработной плате и мерам социальной поддержки выполнены в полном объеме. Просроченная кредиторская задолженность отсутствует.</w:t>
      </w:r>
    </w:p>
    <w:p w:rsidR="00743448" w:rsidRDefault="00870FD9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43448" w:rsidRDefault="00870FD9">
      <w:pPr>
        <w:spacing w:line="360" w:lineRule="auto"/>
        <w:jc w:val="both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743448" w:rsidRDefault="00870FD9">
      <w:pPr>
        <w:spacing w:line="360" w:lineRule="auto"/>
        <w:jc w:val="center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РЕЗУЛЬТАТ ИСПОЛНЕНИЯ</w:t>
      </w:r>
    </w:p>
    <w:p w:rsidR="00743448" w:rsidRDefault="00870FD9">
      <w:pPr>
        <w:spacing w:line="360" w:lineRule="auto"/>
        <w:jc w:val="center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БЮДЖЕТА МУНИЦИПАЛЬНОГО РАЙОНА</w:t>
      </w:r>
    </w:p>
    <w:p w:rsidR="00743448" w:rsidRDefault="00870FD9">
      <w:pPr>
        <w:spacing w:line="360" w:lineRule="auto"/>
        <w:ind w:firstLine="560"/>
        <w:jc w:val="center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Исполнение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Белохолуницкого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на 2024 год по плану запланировано 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дефицитом  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сумме 4 283 745,93 рублей, фактически дефицит сложился в сумме 3 590 516,53 рублей.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 источников покрытия дефицита бюджета 2024 года отражен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в форме 0503117 «Отчет об исполнении бюджета». </w:t>
      </w:r>
    </w:p>
    <w:p w:rsidR="00743448" w:rsidRDefault="00870FD9" w:rsidP="00230873">
      <w:pPr>
        <w:spacing w:after="120"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По результатам исполнения за 2024 год бюджета муниципального района снижение по факту суммы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дефицита  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693 229,40 рублей получено в виду недофинансирования плана по расходам на 3 741 374,98 рублей  и невыполнения плана по доходам на 3 048 145,58 рублей.</w:t>
      </w:r>
    </w:p>
    <w:p w:rsidR="00743448" w:rsidRDefault="00870FD9" w:rsidP="00230873">
      <w:pPr>
        <w:spacing w:after="120"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Привлечение и погашение кредитных ресурсов проведено в запланированных на отчетный год объемах.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Ниже среднего исполнения (менее 95,0% к плановым назначениям и по сумме неисполненных назначений по состоянию на конец года выше    100 000,00 рублей) сложились расходы по подразделу 1301 «Обслуживание государственного и муниципального долга» - 92,7% и   не освоение в сумме 207 328,36 рублей по причине привлечения краткосрочных бюджетных кредитов федерального бюджета в течении года и соответственно сложившейся экономии по оплате расходов по обслуживанию муниципального долга.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об исполнении текстовых статей решения о бюджете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Белохолуницкий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район за 2024 год приведены в таблице № 3.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43448" w:rsidRDefault="00870FD9">
      <w:pPr>
        <w:spacing w:line="360" w:lineRule="auto"/>
        <w:ind w:firstLine="56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</w:t>
      </w:r>
    </w:p>
    <w:p w:rsidR="00743448" w:rsidRDefault="00870FD9">
      <w:pPr>
        <w:spacing w:line="360" w:lineRule="auto"/>
        <w:ind w:firstLine="56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«Анализ показателей финансовой отчетности субъекта бюджетной отчетности»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показателей финансовой отчетности консолидированного бюджета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Белохолуницкий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район Кировской области за 2024 год осуществлялось путем суммирования одноименных показателей по строкам и графам бухгалтерской (финансовой) отчетности субъектов отчетности, входящих в периметр консолидации, и исключения взаимосвязанных показателей по операциям между ними в соответствии с требованиями Инструкции о порядке составления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РФ от 28.12.2010 № 191н.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Справках по заключению счетов бюджетного учета отчетного финансового года (ф.0503110):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бюджетного учета 11100000000000000140110121 отражена информация о признанных ссудодателем доходов текущего финансового года от предоставления права пользования активом в сумме 3 282 301,62 рублей;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бюджетного учета 11109000000000000140110172 отражено изменение в течение отчетного года счета 1 204 33 000 «Участие в государственных (муниципальных) учреждениях» в сумме 15 063 886,99 рублей;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дебету счета бюджетного учета 11109000000000120140110172 отражено уменьшение финансовых вложений в уставный фонд МУП «Полигон» в связи с реорганизацией сумме 114 000 ,00 рублей;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кредиту счета бюджетного учета 11109000000000120140110172 отражено увеличение финансовых вложений в уставный фонд ООО «Полигон» в связи с передачей от МУП «Полигон» в сумме 114 000 ,00 рублей;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бюджетного учета 11705050050000180140110173 отражены операции по списанию дебиторской задолженности по страховым взносам в связи с истекшим сроком давности на сумму 2330,35 рублей;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бюджетного учета 11700000000000000140110176 отражены операции по изменению стоимости земельных участков, ранее принятых к учету в связи с изменением кадастровой стоимости в сумме 184 790,89 рублей;</w:t>
      </w:r>
    </w:p>
    <w:p w:rsidR="00743448" w:rsidRDefault="00870FD9" w:rsidP="00230873">
      <w:pPr>
        <w:spacing w:after="120" w:line="360" w:lineRule="auto"/>
        <w:ind w:firstLine="709"/>
        <w:jc w:val="both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счету бюджетного учета 11700000000000000140110199 в составе показателя в размере 3 531 809,01 рублей отражено в том числе, принятие на учет земельных участков, иных нефинансовых активов по результатам инвентаризации, а также принятие на балансовый учет нефинансовых активов, выявленных в ходе инвентаризации (оприходование неучтенных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(восстановление в учете) (в частности, при принятии на учет земельных участков, государственная собственность на которые не разграничена, вовлеченных в хозяйственный оборот посредством предоставления их в аренду);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бюджетного учета 20710050050000196140110191 в составе показателя в размере 17 849,18 рублей получены от Администрации Губернатора и Правительства Кировской области форменная одежда народного дружинника (жилет) на сумму 1 165,88 рублей, от Министерства образования Кировской области мышки компьютерные, кронштейны для телевизора на сумму 16 683,30 рублей;</w:t>
      </w:r>
    </w:p>
    <w:p w:rsidR="00743448" w:rsidRDefault="00870FD9" w:rsidP="00230873">
      <w:pPr>
        <w:spacing w:after="120" w:line="360" w:lineRule="auto"/>
        <w:ind w:firstLine="709"/>
        <w:jc w:val="both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счету бюджетного учета 20710050050000197140110191 получено от КОГОАУ ДО "Региональный центр военно-патриотического воспитания "Патриот" китель, футболки, береты красные, ремни, брюки, костюм ОЗК, ММГ магазина АК на сумму 41 380,00 рублей; 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бюджетного учета 20710050050000197140110195 в составе показателя в размере 117 530,00 рублей получена от КОГБУК "КОУНБ им. А.И. Герцена" литература на сумму 105 000 рублей, От КОГОАУ ДО "Региональный центр военно-патриотического воспитания "Патриот" получены винтовки, мишенные установки, Макет АК-74М ММГ (со складным прикладом) остаточной стоимостью 12 530,00 рублей;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Балансе исполнения бюджета (ф. 0503120) в строках 271 «Расчеты по кредитам, займам (ссудам) (020700000), всего из них: долгосрочные» и 401 «Расчеты с кредиторами по долговым обязательствам (030100000), всего из них: долгосрочные» отражена задолженность по бюджетному кредиту, выданному из бюджета муниципального района городскому поселению со сроком гашения 01.11.2027 года в сумме 7 900 000,00 рублей на начало года и 3 900 000,00 рублей на конец отчетного периода.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Отчете о финансовых результатах деятельности (ф.0503121) отражены показатели в отрицательном значении: 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строке 092 «Доходы от выбытия активов», в том числе: 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бюджету муниципального района на сумму 14 841 218,79 рублей в составе показателя отражено списание стоимости имущества и земельных участков при их реализации на сумму -3 944 371,31 рублей, доходы от продажи имущества, земельных участков и сдачи металлолома на сумму 3 721 703,11 рублей, 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 же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увеличение стоимости активов при принятии на баланс недвижимого имущества, ОЦИ и земельных участков в сумме 15 063 886,99 рублей;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строке 093 «Чрезвычайные доходы от операций с активами», в том числе: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бюджету муниципального района на сумму -2 330,35 рублей отражено списание дебиторской задолженности по страховым взносам в связи с истекшим сроком давности;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Отчете о финансовых результатах деятельности (ф.0503121) чистое поступление основных средств не соответствует идентичному показателю в Сведениях о движении нефинансовых активов (ф.0503168) в связи с тем, что была принята в эксплуатацию после реконструкции местная автоматизированная система централизованного оповещения населения стоимостью 1 793 716,8 рублей, числящаяся по состоянию на 01.01.2024 года на счете бюджетного учета 010652000 "Вложения в движимое имущество государственной (муниципальной) казны" по строке 560. </w:t>
      </w:r>
    </w:p>
    <w:p w:rsidR="00743448" w:rsidRDefault="00870FD9" w:rsidP="00230873">
      <w:pPr>
        <w:spacing w:after="120"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Информация о состоянии дебиторской и кредиторской задолженности представлена в Сведениях по дебиторской и кредиторской задолженности (ф. 0503169). 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Сведениях по дебиторской и кредиторской задолженности (ф. 0503169) остаток по счету по дебиторской(кредиторской) задолженности на конец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предыдущего года не соответствует остатку по счету по дебиторской</w:t>
      </w:r>
      <w:r w:rsidR="002308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(кредиторской) задолженности на начало текущего года в сумме 14 317,81 рублей, так как заменены аналитические признаки (КОСГУ) 189 "Иные доходы" на 129 "Иные доходы от собственности" в связи обнаружением ошибочного применения кода доходов. 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Белохолуницкого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заключила договор на установку и эксплуатацию рекламной конструкции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Белохолуницкого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района, в соответствии с которым Арендодатель за плату предоставляет Арендатору право эксплуатировать рекламное место.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сответствии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СГС "Аренда" были начислены доходы будущих периодов по счету 140140189 и поступали денежные средства по коду дохода                 117 05050 05 0000 180. Суммы поступивших доходов и доходы будущих периодов в сумме 14317,81 рублей перенесены на код доходов                      111 09080 05 0000 120.</w:t>
      </w:r>
    </w:p>
    <w:p w:rsidR="00743448" w:rsidRDefault="00870FD9" w:rsidP="00230873">
      <w:pPr>
        <w:spacing w:after="120"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Просроченная кредиторская задолженность по консолидированному бюджету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Белохолуницкий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район Кировской области по расходам на конец отчетного года отсутствует. Просроченная дебиторская задолженность на конец отчетного периода составляет 67 573,65 рублей.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Дебиторская задолженность на конец отчетного периода 1 036 572 454,83 рублей, в том числе: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бюджетного учета 120500000 «Расчеты по доходам» 1 036 515 718,17, в том числе: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ожидаемые доходы по аренде имущества 1 026 547,01 рублей;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ожидаемые доходы по аренде земли 26 276 376,34 рублей;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задолженность по иным доходам от собственности 110 317,81 рублей;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задолженность по условным арендным платежам составила 15 661,10 рублей;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задолженность по родительской плате – 990429,91 рублей, в том числе просроченная задолженность 67 573,65 рублей;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доходам от межбюджетных трансфертов, предоставляемых с условиями при передаче активов текущего характера – 1 000 256 286,00 рублей;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доходам от межбюджетных трансфертов, предоставляемых с условиями при передаче активов капитального характера – 7 840 100,00,00 рублей;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бюджетного учета 120600000 «Расчеты по выданным авансам» 29 825,24 рублей, в том числе перечислен аванс по условиям договора:  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оплата электроэнергии в сумме 8 842,82 рублей;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технологическое присоединение объектов капитального строительства по адресу: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д.Гуренки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сумме 20982,42 рублей;          </w:t>
      </w:r>
    </w:p>
    <w:p w:rsidR="00743448" w:rsidRDefault="00870FD9" w:rsidP="00230873">
      <w:pPr>
        <w:spacing w:line="360" w:lineRule="auto"/>
        <w:ind w:firstLine="709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120800000 «Расчеты с подотчетными лицами» 16 971,40 рублей;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120900000 «Расчеты по ущербу и иным доходам» в сумме 9 940,02 рублей, в том числе задолженность Социального фонда России по возмещению расходов на оплату четырех дополнительных выходных дней для ухода за детьми-инвалидами в сумме 9 940,02 рублей;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Кредиторская задолженность на конец отчетного периода составляет 1 090 633 761,32 рублей, в том числе: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120500000 «Расчеты по доходам» 31 372,66 рублей, в том числе: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задолженность по родительской плате за детский сад – 31 372,66 рублей;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120800000 «Расчеты с подотчетными лицами» 546,87 рублей;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счету 130200000 «Расчеты по принятым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обязательствам»   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     12 996 650,86 рублей, в том числе: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задолженность по заработной плате за декабрь 2024 года в сумме 8 847 593,71 рублей;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задолженность за услуги связи – 71 094,36 рублей;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задолженность за коммунальные услуги 3 978 374,13 рублей;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 w:rsidR="002308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задолженность за работы, услуги по содержанию имущества 270,00 рублей; 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задолженность за первые три дня по больничным листам за счет работодателя составила 67 784,59 рублей;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130300000 «Расчеты по платежам в бюджеты» задолженность по налогам, взносам и сборам составила 9 803 046,06 рублей;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130403000 «Прочие расчеты с кредиторами» отражена задолженность по исполнительным листам работников и профсоюзным взносам в сумме 316 511,58 рублей;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счету 140140000 начислены доходы будущих периодов на сумму арендных платежей в соответствии с условиями договоров в сумме 27 302 823,35 рублей, 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 же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доходы по безвозмездным перечислениям на плановый период на сумму 1 008 096 386,00 рублей.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140160000 сформирован резерв на оплату отпусков за фактически отработанное время в сумме 1 771 207,40 рублей.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Сведениях о финансовых вложениях получателя бюджетных средств, администратора источников финансирования дефицита бюджета (ф.0503171) общая сумма финансовых вложений бюджета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Белохолуницкий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район Кировской области на отчетную дату составила 220 718 412,08 рублей, в том числе: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вложение средств в уставный фонд государственных (муниципальных) учреждений на сумму 220 604 412,08 рублей. 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2024 году участие в государственных (муниципальных) учреждениях увеличилось на 15 063 886,99 рублей. Изменение прошло в связи с: </w:t>
      </w:r>
    </w:p>
    <w:p w:rsidR="00743448" w:rsidRDefault="00870FD9" w:rsidP="00230873">
      <w:pPr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увеличением стоимости недвижимого имущества - 5 753 195,00 рублей;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увеличением стоимости особо ценного имущества - 7 662 147,00 рублей;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увеличением стоимости земельных участков - 1 648 544,99 рублей;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иные формы участия в капитале 114 000,00 рублей. 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Сведениях о государственном (муниципальном) долге, предоставленных бюджетных кредитах (ф.0503172) отражена общая сумма долговых обязательств бюджета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Белохолуницкий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район Кировской области на 1 января 2025 года в сумме 37 449 277,00 рублей, в том числе:</w:t>
      </w:r>
      <w:r>
        <w:rPr>
          <w:rFonts w:ascii="Times New Roman" w:eastAsia="Times New Roman" w:hAnsi="Times New Roman" w:cs="Times New Roman"/>
          <w:color w:val="C00000"/>
          <w:sz w:val="28"/>
          <w:szCs w:val="28"/>
        </w:rPr>
        <w:t xml:space="preserve"> 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кредиты, полученные муниципальным районом от кредитных организаций – 36 300 000,00 рублей;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задолженность организаций агропромышленного комплекса перед бюджетом муниципального района по товарному кредиту 1996 года в сумме 98 000,00 рублей, а также начисленные проценты в сумме 199 126,00 рублей и пени – 852 151,00 рубль. 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течение 2024 года привлечено кредитов на сумму 49 400 000,00 рублей, в том числе: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бюджет муниципального района от кредитных организаций на сумму    25 700 000,00 рублей, бюджетных кредитов от Управления федерального казначейства на сумму 23 700 000,00 рублей;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погашение долговых обязательств в 2024 году направлено       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51 400 000,00 рублей, в том числе: 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 бюджета муниципального района на погашение кредитов кредитным организациям - 27 700 000,00 рублей, бюджетного кредита УФК – 23 700 000,00 рублей.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пределах общего объема расходов бюджета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Белохолуницкий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муниципальный район Кировской области произведены расходы на обслуживание муниципального внутреннего долга в сумме 2 616 727,64 рублей.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Сведениях об изменении остатков валюты баланса (ф.0503173) по коду причины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"03"</w:t>
      </w:r>
      <w:bookmarkStart w:id="0" w:name="_dx_frag_StartFragment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bookmarkStart w:id="1" w:name="_dx_frag_EndFragment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ражено исправление ошибок прошлых лет 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сумму  610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293,76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рублей, в том числе списание ошибочно числящейся амортизации имущества казны в сумме 610 293,76.</w:t>
      </w:r>
    </w:p>
    <w:p w:rsidR="00743448" w:rsidRDefault="00870FD9" w:rsidP="00230873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</w:t>
      </w:r>
    </w:p>
    <w:p w:rsidR="00230873" w:rsidRDefault="00230873">
      <w:pPr>
        <w:spacing w:line="360" w:lineRule="auto"/>
        <w:ind w:firstLine="5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43448" w:rsidRDefault="00870FD9">
      <w:pPr>
        <w:spacing w:line="360" w:lineRule="auto"/>
        <w:ind w:firstLine="56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5 </w:t>
      </w:r>
    </w:p>
    <w:p w:rsidR="00743448" w:rsidRDefault="00870FD9">
      <w:pPr>
        <w:spacing w:line="360" w:lineRule="auto"/>
        <w:jc w:val="center"/>
        <w:outlineLvl w:val="2"/>
        <w:rPr>
          <w:b/>
          <w:color w:val="000000"/>
          <w:sz w:val="27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«Прочие вопросы деятельности субъекта бюджетной отчетности»</w:t>
      </w:r>
    </w:p>
    <w:p w:rsidR="00743448" w:rsidRDefault="00870FD9" w:rsidP="000C20CC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bookmarkStart w:id="2" w:name="_GoBack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бюджета муниципального района, организация исполнения бюджета муниципального района в соответствии с бюджетным законодательством, проведение единой финансовой и бюджетной политики на территории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Белохолуницкий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район, осуществляет управление финансов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Белохолуницкого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Кировской области, входящее в структуру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Белохолуницкого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и являющееся её отраслевым (функциональным) органом.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743448" w:rsidRDefault="00870FD9" w:rsidP="000C20CC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 об исполнении бюджета муниципального района за 2024 год сформирован руководствуясь требованиями приказа Минфина России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на основании сводной бюджетной отчетности шести главных распорядителей бюджетных средств, главных администраторов доходов бюджета и двух главных администраторов источников финансирования дефицита бюджета.</w:t>
      </w:r>
    </w:p>
    <w:p w:rsidR="00743448" w:rsidRDefault="00870FD9" w:rsidP="000C20CC">
      <w:pPr>
        <w:spacing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Перед составлением годовой отчетности проведена инвентаризация финансовых и нефинансовых активов и обязательств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иных активов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обязательств, числящихся на балансе. Фактов расхождений с бухгалтерским учетом не выявлено.</w:t>
      </w:r>
    </w:p>
    <w:p w:rsidR="00743448" w:rsidRDefault="00870FD9" w:rsidP="000C20CC">
      <w:pPr>
        <w:spacing w:after="120" w:line="360" w:lineRule="auto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Справках по консолидируемым расчетам (ф. 0503125G) по кодам счетов 120651000, 120651561. 120651661, 120654000, 120654561, 120654661, 130251000,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130251831, 130254000, 130254831, 130406000, 140110189, 140120251, 140120254 числовые показатели отсутствуют.  </w:t>
      </w:r>
    </w:p>
    <w:p w:rsidR="00743448" w:rsidRDefault="00870FD9" w:rsidP="000C20CC">
      <w:pPr>
        <w:ind w:firstLine="709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743448" w:rsidRDefault="00870FD9">
      <w:r>
        <w:t> </w:t>
      </w:r>
    </w:p>
    <w:p w:rsidR="00743448" w:rsidRDefault="00870FD9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8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0"/>
        <w:gridCol w:w="2040"/>
        <w:gridCol w:w="3770"/>
      </w:tblGrid>
      <w:tr w:rsidR="00743448"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743448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Н.И.Чашникова</w:t>
            </w:r>
            <w:proofErr w:type="spellEnd"/>
          </w:p>
        </w:tc>
      </w:tr>
      <w:tr w:rsidR="00743448">
        <w:trPr>
          <w:trHeight w:val="280"/>
        </w:trPr>
        <w:tc>
          <w:tcPr>
            <w:tcW w:w="3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743448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43448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43448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743448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743448">
            <w:pPr>
              <w:rPr>
                <w:sz w:val="24"/>
              </w:rPr>
            </w:pPr>
          </w:p>
        </w:tc>
      </w:tr>
      <w:tr w:rsidR="00743448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43448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743448">
            <w:pPr>
              <w:rPr>
                <w:sz w:val="24"/>
              </w:rPr>
            </w:pPr>
          </w:p>
        </w:tc>
      </w:tr>
      <w:tr w:rsidR="00743448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743448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43448" w:rsidRDefault="00870FD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Е.С.Исупова</w:t>
            </w:r>
            <w:proofErr w:type="spellEnd"/>
          </w:p>
        </w:tc>
      </w:tr>
      <w:tr w:rsidR="00743448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743448">
        <w:trPr>
          <w:trHeight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870FD9" w:rsidP="00870FD9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"01"   января  2025 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743448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3448" w:rsidRDefault="00743448">
            <w:pPr>
              <w:rPr>
                <w:sz w:val="24"/>
              </w:rPr>
            </w:pPr>
          </w:p>
        </w:tc>
      </w:tr>
    </w:tbl>
    <w:p w:rsidR="00743448" w:rsidRDefault="00870FD9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743448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CD35C"/>
    <w:multiLevelType w:val="hybridMultilevel"/>
    <w:tmpl w:val="4FB06BE6"/>
    <w:lvl w:ilvl="0" w:tplc="000BE565">
      <w:start w:val="2"/>
      <w:numFmt w:val="decimal"/>
      <w:lvlText w:val="%1."/>
      <w:lvlJc w:val="left"/>
      <w:pPr>
        <w:ind w:left="720" w:hanging="360"/>
      </w:pPr>
    </w:lvl>
    <w:lvl w:ilvl="1" w:tplc="2E161539">
      <w:start w:val="1"/>
      <w:numFmt w:val="decimal"/>
      <w:lvlText w:val="%2."/>
      <w:lvlJc w:val="left"/>
      <w:pPr>
        <w:ind w:left="1440" w:hanging="360"/>
      </w:pPr>
    </w:lvl>
    <w:lvl w:ilvl="2" w:tplc="37FA2D91">
      <w:start w:val="1"/>
      <w:numFmt w:val="decimal"/>
      <w:lvlText w:val="%3."/>
      <w:lvlJc w:val="left"/>
      <w:pPr>
        <w:ind w:left="2160" w:hanging="360"/>
      </w:pPr>
    </w:lvl>
    <w:lvl w:ilvl="3" w:tplc="0221847F">
      <w:start w:val="1"/>
      <w:numFmt w:val="decimal"/>
      <w:lvlText w:val="%4."/>
      <w:lvlJc w:val="left"/>
      <w:pPr>
        <w:ind w:left="2880" w:hanging="360"/>
      </w:pPr>
    </w:lvl>
    <w:lvl w:ilvl="4" w:tplc="31A736B4">
      <w:start w:val="1"/>
      <w:numFmt w:val="decimal"/>
      <w:lvlText w:val="%5."/>
      <w:lvlJc w:val="left"/>
      <w:pPr>
        <w:ind w:left="3600" w:hanging="360"/>
      </w:pPr>
    </w:lvl>
    <w:lvl w:ilvl="5" w:tplc="75FB4598">
      <w:start w:val="1"/>
      <w:numFmt w:val="decimal"/>
      <w:lvlText w:val="%6."/>
      <w:lvlJc w:val="left"/>
      <w:pPr>
        <w:ind w:left="4320" w:hanging="360"/>
      </w:pPr>
    </w:lvl>
    <w:lvl w:ilvl="6" w:tplc="17310485">
      <w:start w:val="1"/>
      <w:numFmt w:val="decimal"/>
      <w:lvlText w:val="%7."/>
      <w:lvlJc w:val="left"/>
      <w:pPr>
        <w:ind w:left="5040" w:hanging="360"/>
      </w:pPr>
    </w:lvl>
    <w:lvl w:ilvl="7" w:tplc="41FDCFC1">
      <w:start w:val="1"/>
      <w:numFmt w:val="decimal"/>
      <w:lvlText w:val="%8."/>
      <w:lvlJc w:val="left"/>
      <w:pPr>
        <w:ind w:left="5760" w:hanging="360"/>
      </w:pPr>
    </w:lvl>
    <w:lvl w:ilvl="8" w:tplc="5C3ED7B3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648462A1"/>
    <w:multiLevelType w:val="hybridMultilevel"/>
    <w:tmpl w:val="6F30F36A"/>
    <w:lvl w:ilvl="0" w:tplc="69B2D529">
      <w:start w:val="1"/>
      <w:numFmt w:val="decimal"/>
      <w:lvlText w:val="%1."/>
      <w:lvlJc w:val="left"/>
      <w:pPr>
        <w:ind w:left="720" w:hanging="360"/>
      </w:pPr>
    </w:lvl>
    <w:lvl w:ilvl="1" w:tplc="387A42E1">
      <w:start w:val="1"/>
      <w:numFmt w:val="decimal"/>
      <w:lvlText w:val="%2."/>
      <w:lvlJc w:val="left"/>
      <w:pPr>
        <w:ind w:left="1440" w:hanging="360"/>
      </w:pPr>
    </w:lvl>
    <w:lvl w:ilvl="2" w:tplc="521F52E0">
      <w:start w:val="1"/>
      <w:numFmt w:val="decimal"/>
      <w:lvlText w:val="%3."/>
      <w:lvlJc w:val="left"/>
      <w:pPr>
        <w:ind w:left="2160" w:hanging="360"/>
      </w:pPr>
    </w:lvl>
    <w:lvl w:ilvl="3" w:tplc="70333C7C">
      <w:start w:val="1"/>
      <w:numFmt w:val="decimal"/>
      <w:lvlText w:val="%4."/>
      <w:lvlJc w:val="left"/>
      <w:pPr>
        <w:ind w:left="2880" w:hanging="360"/>
      </w:pPr>
    </w:lvl>
    <w:lvl w:ilvl="4" w:tplc="6E5A044F">
      <w:start w:val="1"/>
      <w:numFmt w:val="decimal"/>
      <w:lvlText w:val="%5."/>
      <w:lvlJc w:val="left"/>
      <w:pPr>
        <w:ind w:left="3600" w:hanging="360"/>
      </w:pPr>
    </w:lvl>
    <w:lvl w:ilvl="5" w:tplc="3DA88DDE">
      <w:start w:val="1"/>
      <w:numFmt w:val="decimal"/>
      <w:lvlText w:val="%6."/>
      <w:lvlJc w:val="left"/>
      <w:pPr>
        <w:ind w:left="4320" w:hanging="360"/>
      </w:pPr>
    </w:lvl>
    <w:lvl w:ilvl="6" w:tplc="14C046BB">
      <w:start w:val="1"/>
      <w:numFmt w:val="decimal"/>
      <w:lvlText w:val="%7."/>
      <w:lvlJc w:val="left"/>
      <w:pPr>
        <w:ind w:left="5040" w:hanging="360"/>
      </w:pPr>
    </w:lvl>
    <w:lvl w:ilvl="7" w:tplc="4219DD67">
      <w:start w:val="1"/>
      <w:numFmt w:val="decimal"/>
      <w:lvlText w:val="%8."/>
      <w:lvlJc w:val="left"/>
      <w:pPr>
        <w:ind w:left="5760" w:hanging="360"/>
      </w:pPr>
    </w:lvl>
    <w:lvl w:ilvl="8" w:tplc="64306A49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6AB350EC"/>
    <w:multiLevelType w:val="hybridMultilevel"/>
    <w:tmpl w:val="07522A68"/>
    <w:lvl w:ilvl="0" w:tplc="4B0D66F8">
      <w:start w:val="1"/>
      <w:numFmt w:val="decimal"/>
      <w:lvlText w:val="%1."/>
      <w:lvlJc w:val="left"/>
      <w:pPr>
        <w:ind w:left="720" w:hanging="360"/>
      </w:pPr>
    </w:lvl>
    <w:lvl w:ilvl="1" w:tplc="472C886C">
      <w:start w:val="1"/>
      <w:numFmt w:val="decimal"/>
      <w:lvlText w:val="%2."/>
      <w:lvlJc w:val="left"/>
      <w:pPr>
        <w:ind w:left="1440" w:hanging="360"/>
      </w:pPr>
    </w:lvl>
    <w:lvl w:ilvl="2" w:tplc="2456D4B4">
      <w:start w:val="1"/>
      <w:numFmt w:val="decimal"/>
      <w:lvlText w:val="%3."/>
      <w:lvlJc w:val="left"/>
      <w:pPr>
        <w:ind w:left="2160" w:hanging="360"/>
      </w:pPr>
    </w:lvl>
    <w:lvl w:ilvl="3" w:tplc="6D7E968F">
      <w:start w:val="1"/>
      <w:numFmt w:val="decimal"/>
      <w:lvlText w:val="%4."/>
      <w:lvlJc w:val="left"/>
      <w:pPr>
        <w:ind w:left="2880" w:hanging="360"/>
      </w:pPr>
    </w:lvl>
    <w:lvl w:ilvl="4" w:tplc="7EDB0F97">
      <w:start w:val="1"/>
      <w:numFmt w:val="decimal"/>
      <w:lvlText w:val="%5."/>
      <w:lvlJc w:val="left"/>
      <w:pPr>
        <w:ind w:left="3600" w:hanging="360"/>
      </w:pPr>
    </w:lvl>
    <w:lvl w:ilvl="5" w:tplc="69160BE4">
      <w:start w:val="1"/>
      <w:numFmt w:val="decimal"/>
      <w:lvlText w:val="%6."/>
      <w:lvlJc w:val="left"/>
      <w:pPr>
        <w:ind w:left="4320" w:hanging="360"/>
      </w:pPr>
    </w:lvl>
    <w:lvl w:ilvl="6" w:tplc="111BB541">
      <w:start w:val="1"/>
      <w:numFmt w:val="decimal"/>
      <w:lvlText w:val="%7."/>
      <w:lvlJc w:val="left"/>
      <w:pPr>
        <w:ind w:left="5040" w:hanging="360"/>
      </w:pPr>
    </w:lvl>
    <w:lvl w:ilvl="7" w:tplc="6283B55A">
      <w:start w:val="1"/>
      <w:numFmt w:val="decimal"/>
      <w:lvlText w:val="%8."/>
      <w:lvlJc w:val="left"/>
      <w:pPr>
        <w:ind w:left="5760" w:hanging="360"/>
      </w:pPr>
    </w:lvl>
    <w:lvl w:ilvl="8" w:tplc="2FE0955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7B9EF195"/>
    <w:multiLevelType w:val="hybridMultilevel"/>
    <w:tmpl w:val="DAB8544E"/>
    <w:lvl w:ilvl="0" w:tplc="594A0ED5">
      <w:start w:val="2"/>
      <w:numFmt w:val="decimal"/>
      <w:lvlText w:val="%1."/>
      <w:lvlJc w:val="left"/>
      <w:pPr>
        <w:ind w:left="720" w:hanging="360"/>
      </w:pPr>
    </w:lvl>
    <w:lvl w:ilvl="1" w:tplc="0958D328">
      <w:start w:val="1"/>
      <w:numFmt w:val="decimal"/>
      <w:lvlText w:val="%2."/>
      <w:lvlJc w:val="left"/>
      <w:pPr>
        <w:ind w:left="1440" w:hanging="360"/>
      </w:pPr>
    </w:lvl>
    <w:lvl w:ilvl="2" w:tplc="39363C3A">
      <w:start w:val="1"/>
      <w:numFmt w:val="decimal"/>
      <w:lvlText w:val="%3."/>
      <w:lvlJc w:val="left"/>
      <w:pPr>
        <w:ind w:left="2160" w:hanging="360"/>
      </w:pPr>
    </w:lvl>
    <w:lvl w:ilvl="3" w:tplc="33945529">
      <w:start w:val="1"/>
      <w:numFmt w:val="decimal"/>
      <w:lvlText w:val="%4."/>
      <w:lvlJc w:val="left"/>
      <w:pPr>
        <w:ind w:left="2880" w:hanging="360"/>
      </w:pPr>
    </w:lvl>
    <w:lvl w:ilvl="4" w:tplc="57EB83E5">
      <w:start w:val="1"/>
      <w:numFmt w:val="decimal"/>
      <w:lvlText w:val="%5."/>
      <w:lvlJc w:val="left"/>
      <w:pPr>
        <w:ind w:left="3600" w:hanging="360"/>
      </w:pPr>
    </w:lvl>
    <w:lvl w:ilvl="5" w:tplc="47A941EB">
      <w:start w:val="1"/>
      <w:numFmt w:val="decimal"/>
      <w:lvlText w:val="%6."/>
      <w:lvlJc w:val="left"/>
      <w:pPr>
        <w:ind w:left="4320" w:hanging="360"/>
      </w:pPr>
    </w:lvl>
    <w:lvl w:ilvl="6" w:tplc="1DD1D5E4">
      <w:start w:val="1"/>
      <w:numFmt w:val="decimal"/>
      <w:lvlText w:val="%7."/>
      <w:lvlJc w:val="left"/>
      <w:pPr>
        <w:ind w:left="5040" w:hanging="360"/>
      </w:pPr>
    </w:lvl>
    <w:lvl w:ilvl="7" w:tplc="2C27641C">
      <w:start w:val="1"/>
      <w:numFmt w:val="decimal"/>
      <w:lvlText w:val="%8."/>
      <w:lvlJc w:val="left"/>
      <w:pPr>
        <w:ind w:left="5760" w:hanging="360"/>
      </w:pPr>
    </w:lvl>
    <w:lvl w:ilvl="8" w:tplc="09627ED2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448"/>
    <w:rsid w:val="000C20CC"/>
    <w:rsid w:val="00230873"/>
    <w:rsid w:val="00743448"/>
    <w:rsid w:val="00835C13"/>
    <w:rsid w:val="0087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3E4B5"/>
  <w15:docId w15:val="{B68610EE-6C7D-4D62-AF0D-FA70476D1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70FD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0F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22</Pages>
  <Words>4899</Words>
  <Characters>27930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</dc:creator>
  <cp:lastModifiedBy>User1</cp:lastModifiedBy>
  <cp:revision>4</cp:revision>
  <cp:lastPrinted>2025-03-21T10:53:00Z</cp:lastPrinted>
  <dcterms:created xsi:type="dcterms:W3CDTF">2025-03-21T10:53:00Z</dcterms:created>
  <dcterms:modified xsi:type="dcterms:W3CDTF">2025-03-24T05:08:00Z</dcterms:modified>
</cp:coreProperties>
</file>