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2241"/>
      </w:tblGrid>
      <w:tr w:rsidR="00747FE6" w:rsidRPr="00073C62" w:rsidTr="0040114B">
        <w:trPr>
          <w:trHeight w:hRule="exact" w:val="1883"/>
        </w:trPr>
        <w:tc>
          <w:tcPr>
            <w:tcW w:w="9498" w:type="dxa"/>
            <w:gridSpan w:val="5"/>
          </w:tcPr>
          <w:p w:rsidR="00747FE6" w:rsidRPr="001C7775" w:rsidRDefault="00747FE6" w:rsidP="00EB50D4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szCs w:val="28"/>
              </w:rPr>
              <w:t>УПРАВЛЕНИЕ КУЛЬТУРЫ БЕЛОХОЛУНИЦКОГО РАЙОНА КИРОВСКОЙ ОБЛАСТИ</w:t>
            </w:r>
          </w:p>
          <w:p w:rsidR="00747FE6" w:rsidRPr="00073C62" w:rsidRDefault="00747FE6" w:rsidP="00EB50D4">
            <w:pPr>
              <w:pStyle w:val="a3"/>
              <w:keepLines w:val="0"/>
              <w:spacing w:before="0" w:after="360"/>
              <w:rPr>
                <w:noProof w:val="0"/>
                <w:color w:val="006600"/>
                <w:szCs w:val="32"/>
              </w:rPr>
            </w:pPr>
            <w:r w:rsidRPr="001C7775">
              <w:t>П</w:t>
            </w:r>
            <w:r>
              <w:t>РИКАЗ</w:t>
            </w: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747FE6" w:rsidRPr="00E24254" w:rsidRDefault="00C92613" w:rsidP="00EB50D4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20.12.2021</w:t>
            </w:r>
          </w:p>
        </w:tc>
        <w:tc>
          <w:tcPr>
            <w:tcW w:w="1814" w:type="dxa"/>
          </w:tcPr>
          <w:p w:rsidR="00747FE6" w:rsidRPr="00E24254" w:rsidRDefault="00747FE6" w:rsidP="00EB50D4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747FE6" w:rsidRPr="00E24254" w:rsidRDefault="00747FE6" w:rsidP="00EB50D4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747FE6" w:rsidRPr="00E24254" w:rsidRDefault="00747FE6" w:rsidP="00EB50D4">
            <w:pPr>
              <w:keepNext/>
              <w:tabs>
                <w:tab w:val="left" w:pos="2765"/>
              </w:tabs>
              <w:jc w:val="right"/>
              <w:rPr>
                <w:color w:val="006600"/>
                <w:sz w:val="28"/>
                <w:szCs w:val="28"/>
              </w:rPr>
            </w:pPr>
            <w:r w:rsidRPr="00E24254">
              <w:rPr>
                <w:sz w:val="28"/>
                <w:szCs w:val="28"/>
              </w:rPr>
              <w:t>№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747FE6" w:rsidRPr="00E24254" w:rsidRDefault="00C92613" w:rsidP="00EB50D4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155</w:t>
            </w: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Pr="00E24254" w:rsidRDefault="00747FE6" w:rsidP="00EB50D4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Белая Холуница</w:t>
            </w:r>
          </w:p>
        </w:tc>
      </w:tr>
      <w:tr w:rsidR="00747FE6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Default="00747FE6" w:rsidP="00EB50D4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7257" w:type="dxa"/>
            <w:gridSpan w:val="4"/>
          </w:tcPr>
          <w:p w:rsidR="00747FE6" w:rsidRDefault="00476E2A" w:rsidP="00EB50D4">
            <w:pPr>
              <w:keepNext/>
              <w:tabs>
                <w:tab w:val="left" w:pos="27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Порядков предоставления субсидий муниципальным бюджетным учреждениям</w:t>
            </w:r>
          </w:p>
          <w:p w:rsidR="00DB0815" w:rsidRPr="00C91007" w:rsidRDefault="00DB0815" w:rsidP="00EB50D4">
            <w:pPr>
              <w:keepNext/>
              <w:tabs>
                <w:tab w:val="left" w:pos="276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747FE6" w:rsidRPr="00E24254" w:rsidRDefault="00747FE6" w:rsidP="00EB50D4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Default="00DB0815" w:rsidP="00EB50D4">
            <w:pPr>
              <w:keepNext/>
              <w:tabs>
                <w:tab w:val="left" w:pos="2765"/>
              </w:tabs>
              <w:jc w:val="center"/>
              <w:rPr>
                <w:color w:val="006600"/>
              </w:rPr>
            </w:pPr>
            <w:r w:rsidRPr="00DB0815">
              <w:rPr>
                <w:color w:val="006600"/>
              </w:rPr>
              <w:t xml:space="preserve">(в редакции приказов управления культуры </w:t>
            </w:r>
            <w:r w:rsidR="009622F4" w:rsidRPr="009622F4">
              <w:rPr>
                <w:color w:val="006600"/>
              </w:rPr>
              <w:t xml:space="preserve">от </w:t>
            </w:r>
            <w:r w:rsidR="009622F4">
              <w:rPr>
                <w:color w:val="006600"/>
              </w:rPr>
              <w:t>30</w:t>
            </w:r>
            <w:r w:rsidR="009622F4" w:rsidRPr="009622F4">
              <w:rPr>
                <w:color w:val="006600"/>
              </w:rPr>
              <w:t>.1</w:t>
            </w:r>
            <w:r w:rsidR="009622F4">
              <w:rPr>
                <w:color w:val="006600"/>
              </w:rPr>
              <w:t>2</w:t>
            </w:r>
            <w:r w:rsidR="009622F4" w:rsidRPr="009622F4">
              <w:rPr>
                <w:color w:val="006600"/>
              </w:rPr>
              <w:t>.202</w:t>
            </w:r>
            <w:r w:rsidR="009622F4">
              <w:rPr>
                <w:color w:val="006600"/>
              </w:rPr>
              <w:t>2</w:t>
            </w:r>
            <w:r w:rsidR="009622F4" w:rsidRPr="009622F4">
              <w:rPr>
                <w:color w:val="006600"/>
              </w:rPr>
              <w:t xml:space="preserve"> № 1</w:t>
            </w:r>
            <w:r w:rsidR="009622F4">
              <w:rPr>
                <w:color w:val="006600"/>
              </w:rPr>
              <w:t xml:space="preserve">78, </w:t>
            </w:r>
            <w:r w:rsidRPr="00DB0815">
              <w:rPr>
                <w:color w:val="006600"/>
              </w:rPr>
              <w:t>от 01.11.2023 № 163, от 14.12.2023 № 183)</w:t>
            </w:r>
          </w:p>
          <w:p w:rsidR="00DB0815" w:rsidRPr="00DB0815" w:rsidRDefault="00DB0815" w:rsidP="00EB50D4">
            <w:pPr>
              <w:keepNext/>
              <w:tabs>
                <w:tab w:val="left" w:pos="2765"/>
              </w:tabs>
              <w:jc w:val="center"/>
              <w:rPr>
                <w:color w:val="006600"/>
              </w:rPr>
            </w:pPr>
          </w:p>
        </w:tc>
      </w:tr>
      <w:tr w:rsidR="00747FE6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Default="006971AC" w:rsidP="00706FEB">
            <w:pPr>
              <w:keepNext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статьей 78.1 Бюджетного кодекса РФ </w:t>
            </w:r>
            <w:r w:rsidR="006A05A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Постановлением администрации Белохолуницкого муниципального района от 21.08.2018 г. № 493 «Об утверждении Порядков предоставления субсидий муниципальным бюджетным учреждениям»</w:t>
            </w: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Pr="00747FE6" w:rsidRDefault="00747FE6" w:rsidP="00747FE6">
            <w:pPr>
              <w:keepNext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3628" w:type="dxa"/>
            <w:gridSpan w:val="2"/>
          </w:tcPr>
          <w:p w:rsidR="00747FE6" w:rsidRPr="00E24254" w:rsidRDefault="00747FE6" w:rsidP="00EB50D4">
            <w:pPr>
              <w:keepNext/>
              <w:tabs>
                <w:tab w:val="left" w:pos="2765"/>
              </w:tabs>
              <w:spacing w:line="360" w:lineRule="auto"/>
              <w:rPr>
                <w:sz w:val="28"/>
                <w:szCs w:val="28"/>
              </w:rPr>
            </w:pPr>
            <w:r w:rsidRPr="00E24254">
              <w:rPr>
                <w:sz w:val="28"/>
                <w:szCs w:val="28"/>
              </w:rPr>
              <w:t>ПРИКАЗЫВАЮ:</w:t>
            </w:r>
          </w:p>
        </w:tc>
        <w:tc>
          <w:tcPr>
            <w:tcW w:w="5870" w:type="dxa"/>
            <w:gridSpan w:val="3"/>
          </w:tcPr>
          <w:p w:rsidR="00747FE6" w:rsidRPr="00E24254" w:rsidRDefault="00747FE6" w:rsidP="00EB50D4">
            <w:pPr>
              <w:keepNext/>
              <w:tabs>
                <w:tab w:val="left" w:pos="2765"/>
              </w:tabs>
              <w:spacing w:line="360" w:lineRule="auto"/>
              <w:jc w:val="center"/>
              <w:rPr>
                <w:color w:val="006600"/>
                <w:sz w:val="28"/>
                <w:szCs w:val="28"/>
              </w:rPr>
            </w:pPr>
          </w:p>
        </w:tc>
      </w:tr>
    </w:tbl>
    <w:p w:rsidR="00747FE6" w:rsidRDefault="00747FE6" w:rsidP="00BC29A8">
      <w:pPr>
        <w:spacing w:line="360" w:lineRule="auto"/>
        <w:rPr>
          <w:sz w:val="28"/>
          <w:szCs w:val="28"/>
        </w:rPr>
      </w:pPr>
    </w:p>
    <w:p w:rsidR="00AB3EC7" w:rsidRDefault="006971AC" w:rsidP="00AB3EC7">
      <w:pPr>
        <w:numPr>
          <w:ilvl w:val="0"/>
          <w:numId w:val="8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6971AC">
        <w:rPr>
          <w:sz w:val="28"/>
          <w:szCs w:val="28"/>
        </w:rPr>
        <w:t>Утвердить Порядок предоставления субсидий муниципальным бюджетным учреждениям, подведомственным управлению культуры Белохолуницкого района, на финансовое обеспечение выполнения ими муниципального задания на оказание муниципальных услуг (выполнения работ) согласно приложению №1.</w:t>
      </w:r>
    </w:p>
    <w:p w:rsidR="00747FE6" w:rsidRPr="00AB3EC7" w:rsidRDefault="006971AC" w:rsidP="00AB3EC7">
      <w:pPr>
        <w:numPr>
          <w:ilvl w:val="0"/>
          <w:numId w:val="8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AB3EC7">
        <w:rPr>
          <w:sz w:val="28"/>
          <w:szCs w:val="28"/>
        </w:rPr>
        <w:t xml:space="preserve">Утвердить </w:t>
      </w:r>
      <w:r w:rsidR="00AB3EC7" w:rsidRPr="00AB3EC7">
        <w:rPr>
          <w:sz w:val="28"/>
          <w:szCs w:val="28"/>
        </w:rPr>
        <w:t>Порядок определения объема и условий предоставления из бюджета муниципального образования Белохолуницкий муниципальный район  субсидий на иные цели муниципальным бюджетным учреждениям, подведомственным управлению культуры Белохолуницкого района согласно приложению</w:t>
      </w:r>
      <w:r w:rsidRPr="00AB3EC7">
        <w:rPr>
          <w:sz w:val="28"/>
          <w:szCs w:val="28"/>
        </w:rPr>
        <w:t xml:space="preserve"> №2</w:t>
      </w:r>
      <w:r w:rsidR="00AB3EC7">
        <w:rPr>
          <w:sz w:val="28"/>
          <w:szCs w:val="28"/>
        </w:rPr>
        <w:t>.</w:t>
      </w:r>
    </w:p>
    <w:p w:rsidR="006971AC" w:rsidRPr="006971AC" w:rsidRDefault="006971AC" w:rsidP="00BC29A8">
      <w:pPr>
        <w:numPr>
          <w:ilvl w:val="0"/>
          <w:numId w:val="8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6971AC">
        <w:rPr>
          <w:sz w:val="28"/>
          <w:szCs w:val="28"/>
        </w:rPr>
        <w:t>Признать утратившим силу приказ управления культуры Белохолуницкого района от 14.11.2011 №92 «О порядке определения объема и предоставление субсидии из бюджета Белохолуницкого муниципального района муниципальным бюджетным учреждениям, подведомственным управлению культуры Белохолуницкого района».</w:t>
      </w:r>
    </w:p>
    <w:p w:rsidR="006971AC" w:rsidRPr="006971AC" w:rsidRDefault="006971AC" w:rsidP="00BC29A8">
      <w:pPr>
        <w:numPr>
          <w:ilvl w:val="0"/>
          <w:numId w:val="8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6971AC">
        <w:rPr>
          <w:sz w:val="28"/>
          <w:szCs w:val="28"/>
        </w:rPr>
        <w:lastRenderedPageBreak/>
        <w:t>Признать утратившим силу приказ управления культуры Белохолуницкого района от 25.12.2019 №11 «О порядке предоставления субсидий муниципальным бюджетным учреждениям, подведомственных управлению культуры Белохолуницкого района, на финансовое обеспечение выполнения ими муниципального задания на оказание муниципальных услуг (выполнения работ)».</w:t>
      </w:r>
    </w:p>
    <w:p w:rsidR="006971AC" w:rsidRPr="006971AC" w:rsidRDefault="006971AC" w:rsidP="00BC29A8">
      <w:pPr>
        <w:numPr>
          <w:ilvl w:val="0"/>
          <w:numId w:val="8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6971AC">
        <w:rPr>
          <w:sz w:val="28"/>
          <w:szCs w:val="28"/>
        </w:rPr>
        <w:t xml:space="preserve">Данный приказ вступает в силу и распространяет свое действие </w:t>
      </w:r>
      <w:proofErr w:type="gramStart"/>
      <w:r w:rsidRPr="006971AC">
        <w:rPr>
          <w:sz w:val="28"/>
          <w:szCs w:val="28"/>
        </w:rPr>
        <w:t>на правоотношения</w:t>
      </w:r>
      <w:proofErr w:type="gramEnd"/>
      <w:r w:rsidRPr="006971AC">
        <w:rPr>
          <w:sz w:val="28"/>
          <w:szCs w:val="28"/>
        </w:rPr>
        <w:t xml:space="preserve"> возникшие с 01.01.2022 г.</w:t>
      </w:r>
    </w:p>
    <w:p w:rsidR="006971AC" w:rsidRPr="006971AC" w:rsidRDefault="006971AC" w:rsidP="00BC29A8">
      <w:pPr>
        <w:numPr>
          <w:ilvl w:val="0"/>
          <w:numId w:val="8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6971AC">
        <w:rPr>
          <w:sz w:val="28"/>
          <w:szCs w:val="28"/>
        </w:rPr>
        <w:t>Контроль за исполнением настоящего приказа оставляю за собой.</w:t>
      </w:r>
    </w:p>
    <w:p w:rsidR="00747FE6" w:rsidRDefault="00747FE6">
      <w:pPr>
        <w:rPr>
          <w:sz w:val="28"/>
          <w:szCs w:val="28"/>
        </w:rPr>
      </w:pPr>
    </w:p>
    <w:p w:rsidR="00747FE6" w:rsidRDefault="00747FE6">
      <w:pPr>
        <w:rPr>
          <w:sz w:val="28"/>
          <w:szCs w:val="28"/>
        </w:rPr>
      </w:pPr>
    </w:p>
    <w:p w:rsidR="00747FE6" w:rsidRDefault="00747FE6">
      <w:pPr>
        <w:rPr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835"/>
        <w:gridCol w:w="2622"/>
      </w:tblGrid>
      <w:tr w:rsidR="00747FE6" w:rsidRPr="00A81B18" w:rsidTr="0040114B">
        <w:tc>
          <w:tcPr>
            <w:tcW w:w="4111" w:type="dxa"/>
          </w:tcPr>
          <w:p w:rsidR="00747FE6" w:rsidRPr="00A81B18" w:rsidRDefault="00747FE6" w:rsidP="00EB50D4">
            <w:pPr>
              <w:keepNext/>
              <w:tabs>
                <w:tab w:val="left" w:pos="2765"/>
              </w:tabs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Начальник управления культуры</w:t>
            </w:r>
          </w:p>
          <w:p w:rsidR="00747FE6" w:rsidRPr="00A81B18" w:rsidRDefault="00747FE6" w:rsidP="00EB50D4">
            <w:pPr>
              <w:keepNext/>
              <w:tabs>
                <w:tab w:val="left" w:pos="2765"/>
              </w:tabs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Белохолуницкого района</w:t>
            </w:r>
          </w:p>
        </w:tc>
        <w:tc>
          <w:tcPr>
            <w:tcW w:w="2835" w:type="dxa"/>
          </w:tcPr>
          <w:p w:rsidR="00747FE6" w:rsidRPr="00A81B18" w:rsidRDefault="00747FE6" w:rsidP="00EB50D4">
            <w:pPr>
              <w:keepNext/>
              <w:tabs>
                <w:tab w:val="left" w:pos="276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47FE6" w:rsidRPr="00A81B18" w:rsidRDefault="00747FE6" w:rsidP="00EB50D4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Е. В. Щербакова</w:t>
            </w:r>
          </w:p>
        </w:tc>
      </w:tr>
    </w:tbl>
    <w:p w:rsidR="00747FE6" w:rsidRDefault="00747FE6">
      <w:pPr>
        <w:rPr>
          <w:sz w:val="28"/>
          <w:szCs w:val="28"/>
        </w:rPr>
      </w:pPr>
    </w:p>
    <w:p w:rsidR="00476E2A" w:rsidRDefault="00476E2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7185" w:rsidRDefault="00476E2A" w:rsidP="00476E2A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476E2A" w:rsidRDefault="00476E2A" w:rsidP="00476E2A">
      <w:pPr>
        <w:ind w:left="5245"/>
        <w:rPr>
          <w:sz w:val="28"/>
          <w:szCs w:val="28"/>
        </w:rPr>
      </w:pPr>
    </w:p>
    <w:p w:rsidR="00476E2A" w:rsidRDefault="00476E2A" w:rsidP="00476E2A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культуры Белохолуницкого района </w:t>
      </w:r>
      <w:r>
        <w:rPr>
          <w:sz w:val="28"/>
          <w:szCs w:val="28"/>
        </w:rPr>
        <w:br/>
        <w:t>№</w:t>
      </w:r>
      <w:r w:rsidR="00C92613">
        <w:rPr>
          <w:sz w:val="28"/>
          <w:szCs w:val="28"/>
        </w:rPr>
        <w:t>155</w:t>
      </w:r>
      <w:r>
        <w:rPr>
          <w:sz w:val="28"/>
          <w:szCs w:val="28"/>
        </w:rPr>
        <w:t xml:space="preserve"> от</w:t>
      </w:r>
      <w:r w:rsidR="00C92613">
        <w:rPr>
          <w:sz w:val="28"/>
          <w:szCs w:val="28"/>
        </w:rPr>
        <w:t xml:space="preserve"> 20.12.2021</w:t>
      </w:r>
    </w:p>
    <w:p w:rsidR="00476E2A" w:rsidRDefault="00476E2A" w:rsidP="00476E2A">
      <w:pPr>
        <w:ind w:left="5245"/>
        <w:rPr>
          <w:sz w:val="28"/>
          <w:szCs w:val="28"/>
        </w:rPr>
      </w:pPr>
    </w:p>
    <w:p w:rsidR="00476E2A" w:rsidRDefault="00476E2A" w:rsidP="00476E2A">
      <w:pPr>
        <w:jc w:val="center"/>
        <w:rPr>
          <w:b/>
          <w:sz w:val="28"/>
          <w:szCs w:val="28"/>
        </w:rPr>
      </w:pPr>
      <w:r w:rsidRPr="00476E2A">
        <w:rPr>
          <w:b/>
          <w:sz w:val="28"/>
          <w:szCs w:val="28"/>
        </w:rPr>
        <w:t xml:space="preserve">Порядок предоставления субсидий </w:t>
      </w:r>
      <w:r>
        <w:rPr>
          <w:b/>
          <w:sz w:val="28"/>
          <w:szCs w:val="28"/>
        </w:rPr>
        <w:br/>
      </w:r>
      <w:r w:rsidRPr="00476E2A">
        <w:rPr>
          <w:b/>
          <w:sz w:val="28"/>
          <w:szCs w:val="28"/>
        </w:rPr>
        <w:t>муниципальным бюджетным учреждениям, подведомственным управлению культуры Белохолуницкого района, на финансовое обеспечение выполнения ими муниципального задания на оказание муниципальных услуг (выполнения работ)</w:t>
      </w:r>
    </w:p>
    <w:p w:rsidR="00476E2A" w:rsidRDefault="00476E2A" w:rsidP="00476E2A">
      <w:pPr>
        <w:jc w:val="center"/>
        <w:rPr>
          <w:b/>
          <w:sz w:val="28"/>
          <w:szCs w:val="28"/>
        </w:rPr>
      </w:pPr>
    </w:p>
    <w:p w:rsidR="00476E2A" w:rsidRDefault="00476E2A" w:rsidP="00475A2E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C5528">
        <w:rPr>
          <w:color w:val="000000"/>
          <w:sz w:val="28"/>
          <w:szCs w:val="28"/>
        </w:rPr>
        <w:t>Настоящий</w:t>
      </w:r>
      <w:r w:rsidRPr="00814522">
        <w:rPr>
          <w:color w:val="000000"/>
          <w:sz w:val="28"/>
          <w:szCs w:val="28"/>
        </w:rPr>
        <w:t xml:space="preserve"> </w:t>
      </w:r>
      <w:r w:rsidRPr="001C5528">
        <w:rPr>
          <w:color w:val="000000"/>
          <w:sz w:val="28"/>
          <w:szCs w:val="28"/>
        </w:rPr>
        <w:t>Порядок</w:t>
      </w:r>
      <w:r w:rsidRPr="00814522">
        <w:rPr>
          <w:color w:val="000000"/>
          <w:sz w:val="28"/>
          <w:szCs w:val="28"/>
        </w:rPr>
        <w:t xml:space="preserve"> </w:t>
      </w:r>
      <w:r w:rsidRPr="001C5528">
        <w:rPr>
          <w:color w:val="000000"/>
          <w:sz w:val="28"/>
          <w:szCs w:val="28"/>
        </w:rPr>
        <w:t>устанавливает</w:t>
      </w:r>
      <w:r w:rsidRPr="00814522">
        <w:rPr>
          <w:color w:val="000000"/>
          <w:sz w:val="28"/>
          <w:szCs w:val="28"/>
        </w:rPr>
        <w:t xml:space="preserve"> </w:t>
      </w:r>
      <w:r w:rsidRPr="001C5528">
        <w:rPr>
          <w:color w:val="000000"/>
          <w:sz w:val="28"/>
          <w:szCs w:val="28"/>
        </w:rPr>
        <w:t>правила</w:t>
      </w:r>
      <w:r w:rsidRPr="00814522">
        <w:rPr>
          <w:color w:val="000000"/>
          <w:sz w:val="28"/>
          <w:szCs w:val="28"/>
        </w:rPr>
        <w:t xml:space="preserve"> </w:t>
      </w:r>
      <w:r w:rsidRPr="001C5528">
        <w:rPr>
          <w:color w:val="000000"/>
          <w:sz w:val="28"/>
          <w:szCs w:val="28"/>
        </w:rPr>
        <w:t>предоставления</w:t>
      </w:r>
      <w:r w:rsidRPr="00814522">
        <w:rPr>
          <w:color w:val="000000"/>
          <w:sz w:val="28"/>
          <w:szCs w:val="28"/>
        </w:rPr>
        <w:t xml:space="preserve"> </w:t>
      </w:r>
      <w:r w:rsidRPr="001C5528">
        <w:rPr>
          <w:color w:val="000000"/>
          <w:sz w:val="28"/>
          <w:szCs w:val="28"/>
        </w:rPr>
        <w:t>субсидий</w:t>
      </w:r>
      <w:r w:rsidRPr="008145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бюджета муниципального района </w:t>
      </w:r>
      <w:r w:rsidRPr="001C5528">
        <w:rPr>
          <w:color w:val="000000"/>
          <w:sz w:val="28"/>
          <w:szCs w:val="28"/>
        </w:rPr>
        <w:t>муниципальным бюджетным учреждениям</w:t>
      </w:r>
      <w:r w:rsidRPr="00814522">
        <w:rPr>
          <w:color w:val="000000"/>
          <w:sz w:val="28"/>
          <w:szCs w:val="28"/>
        </w:rPr>
        <w:t xml:space="preserve">, подведомственным управлению культуры Белохолуницкого района Кировской области </w:t>
      </w:r>
      <w:r w:rsidRPr="001C5528">
        <w:rPr>
          <w:color w:val="000000"/>
          <w:sz w:val="28"/>
          <w:szCs w:val="28"/>
        </w:rPr>
        <w:t>на</w:t>
      </w:r>
      <w:r w:rsidRPr="00814522">
        <w:rPr>
          <w:color w:val="000000"/>
          <w:sz w:val="28"/>
          <w:szCs w:val="28"/>
        </w:rPr>
        <w:t xml:space="preserve"> </w:t>
      </w:r>
      <w:r w:rsidRPr="001C5528">
        <w:rPr>
          <w:color w:val="000000"/>
          <w:sz w:val="28"/>
          <w:szCs w:val="28"/>
        </w:rPr>
        <w:t>финансовое</w:t>
      </w:r>
      <w:r w:rsidRPr="00814522">
        <w:rPr>
          <w:color w:val="000000"/>
          <w:sz w:val="28"/>
          <w:szCs w:val="28"/>
        </w:rPr>
        <w:t xml:space="preserve"> </w:t>
      </w:r>
      <w:r w:rsidRPr="001C5528">
        <w:rPr>
          <w:color w:val="000000"/>
          <w:sz w:val="28"/>
          <w:szCs w:val="28"/>
        </w:rPr>
        <w:t>обеспечение</w:t>
      </w:r>
      <w:r w:rsidRPr="00814522">
        <w:rPr>
          <w:color w:val="000000"/>
          <w:sz w:val="28"/>
          <w:szCs w:val="28"/>
        </w:rPr>
        <w:t xml:space="preserve"> </w:t>
      </w:r>
      <w:r w:rsidRPr="001C5528">
        <w:rPr>
          <w:color w:val="000000"/>
          <w:sz w:val="28"/>
          <w:szCs w:val="28"/>
        </w:rPr>
        <w:t>выполнения ими муниципального задания на оказание муниципальных услуг (выполнение</w:t>
      </w:r>
      <w:r w:rsidRPr="00814522">
        <w:rPr>
          <w:color w:val="000000"/>
          <w:sz w:val="28"/>
          <w:szCs w:val="28"/>
        </w:rPr>
        <w:t xml:space="preserve"> </w:t>
      </w:r>
      <w:r w:rsidRPr="001C5528">
        <w:rPr>
          <w:color w:val="000000"/>
          <w:sz w:val="28"/>
          <w:szCs w:val="28"/>
        </w:rPr>
        <w:t>работ) (далее - субсидии) в соответствии с абзацем третьим пункта 1 статьи 78.1</w:t>
      </w:r>
      <w:r w:rsidRPr="00814522">
        <w:rPr>
          <w:color w:val="000000"/>
          <w:sz w:val="28"/>
          <w:szCs w:val="28"/>
        </w:rPr>
        <w:t xml:space="preserve"> </w:t>
      </w:r>
      <w:r w:rsidRPr="001C5528">
        <w:rPr>
          <w:color w:val="000000"/>
          <w:sz w:val="28"/>
          <w:szCs w:val="28"/>
        </w:rPr>
        <w:t>Бюджетного кодекса Российской Федерации.</w:t>
      </w:r>
    </w:p>
    <w:p w:rsidR="00DE1C37" w:rsidRPr="005A106F" w:rsidRDefault="00042232" w:rsidP="00475A2E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Предоставление субсидий осуществляется в соответствии со сводной</w:t>
      </w:r>
      <w:r w:rsidR="005A1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бюджетной росписью бюджета муниципального района и доведенных в установленном порядке </w:t>
      </w:r>
      <w:r w:rsidR="005A106F">
        <w:rPr>
          <w:sz w:val="28"/>
          <w:szCs w:val="28"/>
        </w:rPr>
        <w:t xml:space="preserve">управлению культуры Белохолуницкого района, как </w:t>
      </w:r>
      <w:r>
        <w:rPr>
          <w:sz w:val="28"/>
          <w:szCs w:val="28"/>
        </w:rPr>
        <w:t>главному распорядителю бюджетных средств бюджета муниципального района лимитов бюджетных обязательств.</w:t>
      </w:r>
    </w:p>
    <w:p w:rsidR="005A106F" w:rsidRPr="005A106F" w:rsidRDefault="005A106F" w:rsidP="00475A2E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Размер субсидии рассчитывается в порядке, установленном Порядком финансового обеспечения выполнения муниципального задания на оказание муниципальных услуг (выполнение работ) муниципальными учреждениями.</w:t>
      </w:r>
    </w:p>
    <w:p w:rsidR="005A106F" w:rsidRPr="000818B9" w:rsidRDefault="005A106F" w:rsidP="00475A2E">
      <w:pPr>
        <w:pStyle w:val="Default"/>
        <w:ind w:firstLine="709"/>
        <w:jc w:val="both"/>
        <w:rPr>
          <w:sz w:val="28"/>
          <w:szCs w:val="28"/>
        </w:rPr>
      </w:pPr>
      <w:r w:rsidRPr="000818B9">
        <w:rPr>
          <w:sz w:val="28"/>
          <w:szCs w:val="28"/>
        </w:rPr>
        <w:t xml:space="preserve">4. Предоставление учреждению субсидий в течение финансового года осуществляется на основании соглашения </w:t>
      </w:r>
      <w:r w:rsidRPr="000818B9">
        <w:rPr>
          <w:bCs/>
          <w:sz w:val="28"/>
          <w:szCs w:val="28"/>
          <w:lang w:eastAsia="ru-RU"/>
        </w:rPr>
        <w:t>о предоставлении субсидии бюджетному учреждению на финансовое обеспечение выполнения муниципального  задания на оказание муниципальных услуг (выполнение работ)</w:t>
      </w:r>
      <w:r w:rsidR="000818B9" w:rsidRPr="000818B9">
        <w:rPr>
          <w:bCs/>
          <w:sz w:val="28"/>
          <w:szCs w:val="28"/>
          <w:lang w:eastAsia="ru-RU"/>
        </w:rPr>
        <w:t xml:space="preserve"> (далее – Соглашение)</w:t>
      </w:r>
      <w:r w:rsidRPr="000818B9">
        <w:rPr>
          <w:bCs/>
          <w:sz w:val="28"/>
          <w:szCs w:val="28"/>
          <w:lang w:eastAsia="ru-RU"/>
        </w:rPr>
        <w:t>, заключенного между бюджетным учреждением</w:t>
      </w:r>
      <w:r w:rsidRPr="000818B9">
        <w:rPr>
          <w:sz w:val="28"/>
          <w:szCs w:val="28"/>
        </w:rPr>
        <w:t xml:space="preserve"> и главным распорядителем бюджетных средств </w:t>
      </w:r>
      <w:r w:rsidR="000818B9" w:rsidRPr="000818B9">
        <w:rPr>
          <w:sz w:val="28"/>
          <w:szCs w:val="28"/>
        </w:rPr>
        <w:t>муниципального района</w:t>
      </w:r>
      <w:r w:rsidRPr="000818B9">
        <w:rPr>
          <w:sz w:val="28"/>
          <w:szCs w:val="28"/>
        </w:rPr>
        <w:t>, осуществляющим функции и полномочия учредителя</w:t>
      </w:r>
      <w:r w:rsidR="000818B9" w:rsidRPr="000818B9">
        <w:rPr>
          <w:sz w:val="28"/>
          <w:szCs w:val="28"/>
        </w:rPr>
        <w:t>, которым является управление культуры Белохолуницкого района Кировской области</w:t>
      </w:r>
      <w:r w:rsidRPr="000818B9">
        <w:rPr>
          <w:sz w:val="28"/>
          <w:szCs w:val="28"/>
        </w:rPr>
        <w:t xml:space="preserve"> (далее – </w:t>
      </w:r>
      <w:r w:rsidR="000818B9" w:rsidRPr="000818B9">
        <w:rPr>
          <w:sz w:val="28"/>
          <w:szCs w:val="28"/>
        </w:rPr>
        <w:t>Управление</w:t>
      </w:r>
      <w:r w:rsidRPr="000818B9">
        <w:rPr>
          <w:sz w:val="28"/>
          <w:szCs w:val="28"/>
        </w:rPr>
        <w:t xml:space="preserve">). </w:t>
      </w:r>
    </w:p>
    <w:p w:rsidR="005A106F" w:rsidRDefault="005A106F" w:rsidP="00475A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5.Соглашение определяет права, обязанности и ответственность сторон, в том числе объем и периодичность перечисления субсидии в течение финансового года, а также возможные отклонения от установленных </w:t>
      </w:r>
      <w:r w:rsidR="000818B9">
        <w:rPr>
          <w:sz w:val="28"/>
          <w:szCs w:val="28"/>
        </w:rPr>
        <w:t>показателей, в пределах которого муниципальное задание считается выполненным.</w:t>
      </w:r>
    </w:p>
    <w:p w:rsidR="00475A2E" w:rsidRDefault="005A106F" w:rsidP="00475A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Соглашение заключается не позднее</w:t>
      </w:r>
      <w:r w:rsidR="000818B9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рабочих дней после принятия решения Белохолуницкой районной Думой о бюджете муниципального образования Белохолуницкий муниципальный район на очередной </w:t>
      </w:r>
      <w:r>
        <w:rPr>
          <w:sz w:val="28"/>
          <w:szCs w:val="28"/>
        </w:rPr>
        <w:lastRenderedPageBreak/>
        <w:t xml:space="preserve">финансовый год и плановый период в соответствии с типовой формой, утвержденной </w:t>
      </w:r>
      <w:r w:rsidR="00475A2E">
        <w:rPr>
          <w:sz w:val="28"/>
          <w:szCs w:val="28"/>
        </w:rPr>
        <w:t>Управлением.</w:t>
      </w:r>
    </w:p>
    <w:p w:rsidR="00A326B4" w:rsidRDefault="00A326B4" w:rsidP="00A326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соглашения о внесении изменений в Соглашение </w:t>
      </w:r>
      <w:r>
        <w:rPr>
          <w:sz w:val="28"/>
          <w:szCs w:val="28"/>
        </w:rPr>
        <w:br/>
        <w:t>составляются и утверждаются не позднее 5 рабочий дней с даты внесения изменений в решение о бюджете.</w:t>
      </w:r>
    </w:p>
    <w:p w:rsidR="005A106F" w:rsidRDefault="005A106F" w:rsidP="00475A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целевым использованием субсидий, а также за выполнением учреждением условий, предусмотренных Соглашением, осуществляется учредителем в ходе проведения проверки. </w:t>
      </w:r>
    </w:p>
    <w:p w:rsidR="000818B9" w:rsidRDefault="005A106F" w:rsidP="00475A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случае выявления при проведении проверки нарушений учреждением условий предоставления субсидии учредитель одновременно с подписанием акта проведения проверки направляет учреждению уведомление о нарушении условий предоставления субсидий (далее - уведомление), в котором указываются выявленные нарушения, подлежащая возврату в бюджет муниципального района сумма денежных средств и срок ее возврата</w:t>
      </w:r>
      <w:r w:rsidR="000818B9">
        <w:rPr>
          <w:sz w:val="28"/>
          <w:szCs w:val="28"/>
        </w:rPr>
        <w:t xml:space="preserve">. </w:t>
      </w:r>
    </w:p>
    <w:p w:rsidR="005A106F" w:rsidRDefault="005A106F" w:rsidP="00475A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Не использованные в текущем финансовом году остатки субсидий в объеме, соответствующем не достигнутым учреждениями показателям муниципального задания на оказание муниципальных услуг (выполнение работ), подлежат возврату в бюджет муниципального района.</w:t>
      </w:r>
    </w:p>
    <w:p w:rsidR="00476E2A" w:rsidRDefault="00475A2E" w:rsidP="00475A2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76E2A" w:rsidRPr="00063F71">
        <w:rPr>
          <w:rFonts w:ascii="Times New Roman" w:hAnsi="Times New Roman"/>
          <w:sz w:val="28"/>
          <w:szCs w:val="28"/>
        </w:rPr>
        <w:t xml:space="preserve">. </w:t>
      </w:r>
      <w:r w:rsidR="00476E2A">
        <w:rPr>
          <w:rFonts w:ascii="Times New Roman" w:hAnsi="Times New Roman"/>
          <w:sz w:val="28"/>
          <w:szCs w:val="28"/>
        </w:rPr>
        <w:t xml:space="preserve">Руководитель бюджетного учреждения </w:t>
      </w:r>
      <w:r w:rsidR="00476E2A" w:rsidRPr="00063F71">
        <w:rPr>
          <w:rFonts w:ascii="Times New Roman" w:hAnsi="Times New Roman"/>
          <w:sz w:val="28"/>
          <w:szCs w:val="28"/>
        </w:rPr>
        <w:t xml:space="preserve"> представляет </w:t>
      </w:r>
      <w:r w:rsidR="00EB50D4">
        <w:rPr>
          <w:rFonts w:ascii="Times New Roman" w:hAnsi="Times New Roman"/>
          <w:sz w:val="28"/>
          <w:szCs w:val="28"/>
        </w:rPr>
        <w:t>в Управление</w:t>
      </w:r>
      <w:r w:rsidR="00476E2A" w:rsidRPr="00063F71">
        <w:rPr>
          <w:rFonts w:ascii="Times New Roman" w:hAnsi="Times New Roman"/>
          <w:sz w:val="28"/>
          <w:szCs w:val="28"/>
        </w:rPr>
        <w:t xml:space="preserve"> отчет </w:t>
      </w:r>
      <w:r w:rsidR="00476E2A">
        <w:rPr>
          <w:rFonts w:ascii="Times New Roman" w:hAnsi="Times New Roman"/>
          <w:sz w:val="28"/>
          <w:szCs w:val="28"/>
        </w:rPr>
        <w:t>о выполнении муниципального задания</w:t>
      </w:r>
      <w:r w:rsidR="00476E2A" w:rsidRPr="00063F71">
        <w:rPr>
          <w:rFonts w:ascii="Times New Roman" w:hAnsi="Times New Roman"/>
          <w:sz w:val="28"/>
          <w:szCs w:val="28"/>
        </w:rPr>
        <w:t xml:space="preserve"> по форме и в сроки, установленные </w:t>
      </w:r>
      <w:r w:rsidR="00EB50D4">
        <w:rPr>
          <w:rFonts w:ascii="Times New Roman" w:hAnsi="Times New Roman"/>
          <w:sz w:val="28"/>
          <w:szCs w:val="28"/>
        </w:rPr>
        <w:t>Управлением</w:t>
      </w:r>
      <w:r w:rsidR="00476E2A" w:rsidRPr="00063F71">
        <w:rPr>
          <w:rFonts w:ascii="Times New Roman" w:hAnsi="Times New Roman"/>
          <w:sz w:val="28"/>
          <w:szCs w:val="28"/>
        </w:rPr>
        <w:t>.</w:t>
      </w:r>
    </w:p>
    <w:p w:rsidR="00476E2A" w:rsidRDefault="00475A2E" w:rsidP="00475A2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76E2A" w:rsidRPr="00063F71">
        <w:rPr>
          <w:rFonts w:ascii="Times New Roman" w:hAnsi="Times New Roman"/>
          <w:sz w:val="28"/>
          <w:szCs w:val="28"/>
        </w:rPr>
        <w:t xml:space="preserve">. </w:t>
      </w:r>
      <w:r w:rsidR="00476E2A">
        <w:rPr>
          <w:rFonts w:ascii="Times New Roman" w:hAnsi="Times New Roman"/>
          <w:sz w:val="28"/>
          <w:szCs w:val="28"/>
        </w:rPr>
        <w:t xml:space="preserve">Руководитель бюджетного учреждения культуры и искусства </w:t>
      </w:r>
      <w:r w:rsidR="00476E2A" w:rsidRPr="00063F71">
        <w:rPr>
          <w:rFonts w:ascii="Times New Roman" w:hAnsi="Times New Roman"/>
          <w:sz w:val="28"/>
          <w:szCs w:val="28"/>
        </w:rPr>
        <w:t>несет ответственность за достоверность</w:t>
      </w:r>
      <w:r w:rsidR="00476E2A">
        <w:rPr>
          <w:rFonts w:ascii="Times New Roman" w:hAnsi="Times New Roman"/>
          <w:sz w:val="28"/>
          <w:szCs w:val="28"/>
        </w:rPr>
        <w:t xml:space="preserve"> и своевременность</w:t>
      </w:r>
      <w:r w:rsidR="00476E2A" w:rsidRPr="00063F71">
        <w:rPr>
          <w:rFonts w:ascii="Times New Roman" w:hAnsi="Times New Roman"/>
          <w:sz w:val="28"/>
          <w:szCs w:val="28"/>
        </w:rPr>
        <w:t xml:space="preserve"> представляемых учредителю, </w:t>
      </w:r>
      <w:r w:rsidR="00476E2A">
        <w:rPr>
          <w:rFonts w:ascii="Times New Roman" w:hAnsi="Times New Roman"/>
          <w:sz w:val="28"/>
          <w:szCs w:val="28"/>
        </w:rPr>
        <w:t>отчета о выполнении муниципального задания</w:t>
      </w:r>
      <w:r w:rsidR="00476E2A" w:rsidRPr="00063F71">
        <w:rPr>
          <w:rFonts w:ascii="Times New Roman" w:hAnsi="Times New Roman"/>
          <w:sz w:val="28"/>
          <w:szCs w:val="28"/>
        </w:rPr>
        <w:t>, а также за нецелевое использование средств субсидии в соответствии с законодательством Российской Федерации.</w:t>
      </w:r>
    </w:p>
    <w:p w:rsidR="00476E2A" w:rsidRDefault="00475A2E" w:rsidP="00475A2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76E2A">
        <w:rPr>
          <w:rFonts w:ascii="Times New Roman" w:hAnsi="Times New Roman"/>
          <w:sz w:val="28"/>
          <w:szCs w:val="28"/>
        </w:rPr>
        <w:t>. В случае невыполнения бюджетными учреждениями установленного муниципального задания на оказание муниципальных услуг порядок возврата Субсидии определяется Соглашением.</w:t>
      </w:r>
    </w:p>
    <w:p w:rsidR="00476E2A" w:rsidRDefault="00475A2E" w:rsidP="00475A2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76E2A">
        <w:rPr>
          <w:rFonts w:ascii="Times New Roman" w:hAnsi="Times New Roman"/>
          <w:sz w:val="28"/>
          <w:szCs w:val="28"/>
        </w:rPr>
        <w:t xml:space="preserve">. Возврат Субсидии осуществляется в случаях, когда </w:t>
      </w:r>
      <w:proofErr w:type="gramStart"/>
      <w:r w:rsidR="00476E2A">
        <w:rPr>
          <w:rFonts w:ascii="Times New Roman" w:hAnsi="Times New Roman"/>
          <w:sz w:val="28"/>
          <w:szCs w:val="28"/>
        </w:rPr>
        <w:t>показатели  объема</w:t>
      </w:r>
      <w:proofErr w:type="gramEnd"/>
      <w:r w:rsidR="00476E2A">
        <w:rPr>
          <w:rFonts w:ascii="Times New Roman" w:hAnsi="Times New Roman"/>
          <w:sz w:val="28"/>
          <w:szCs w:val="28"/>
        </w:rPr>
        <w:t xml:space="preserve"> </w:t>
      </w:r>
      <w:r w:rsidR="00A326B4">
        <w:rPr>
          <w:rFonts w:ascii="Times New Roman" w:hAnsi="Times New Roman"/>
          <w:sz w:val="28"/>
          <w:szCs w:val="28"/>
        </w:rPr>
        <w:t xml:space="preserve">и качества </w:t>
      </w:r>
      <w:r w:rsidR="00476E2A">
        <w:rPr>
          <w:rFonts w:ascii="Times New Roman" w:hAnsi="Times New Roman"/>
          <w:sz w:val="28"/>
          <w:szCs w:val="28"/>
        </w:rPr>
        <w:t>выполненного муниципального задания на оказан</w:t>
      </w:r>
      <w:r w:rsidR="000818B9">
        <w:rPr>
          <w:rFonts w:ascii="Times New Roman" w:hAnsi="Times New Roman"/>
          <w:sz w:val="28"/>
          <w:szCs w:val="28"/>
        </w:rPr>
        <w:t>ие муниципальных услуг ниже на 3</w:t>
      </w:r>
      <w:r w:rsidR="00476E2A">
        <w:rPr>
          <w:rFonts w:ascii="Times New Roman" w:hAnsi="Times New Roman"/>
          <w:sz w:val="28"/>
          <w:szCs w:val="28"/>
        </w:rPr>
        <w:t>% от утвержденного</w:t>
      </w:r>
      <w:r w:rsidR="00EB50D4">
        <w:rPr>
          <w:rFonts w:ascii="Times New Roman" w:hAnsi="Times New Roman"/>
          <w:sz w:val="28"/>
          <w:szCs w:val="28"/>
        </w:rPr>
        <w:t xml:space="preserve"> Управлением</w:t>
      </w:r>
      <w:r w:rsidR="009622F4">
        <w:rPr>
          <w:rFonts w:ascii="Times New Roman" w:hAnsi="Times New Roman"/>
          <w:sz w:val="28"/>
          <w:szCs w:val="28"/>
        </w:rPr>
        <w:t>, за исключением организаций дополнительного образования детей, где отклонение может составлять не более 15 процентов</w:t>
      </w:r>
      <w:bookmarkStart w:id="0" w:name="_GoBack"/>
      <w:bookmarkEnd w:id="0"/>
      <w:r w:rsidR="00476E2A">
        <w:rPr>
          <w:rFonts w:ascii="Times New Roman" w:hAnsi="Times New Roman"/>
          <w:sz w:val="28"/>
          <w:szCs w:val="28"/>
        </w:rPr>
        <w:t>.</w:t>
      </w:r>
    </w:p>
    <w:p w:rsidR="00476E2A" w:rsidRPr="00063F71" w:rsidRDefault="00A326B4" w:rsidP="00475A2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76E2A" w:rsidRPr="00063F71">
        <w:rPr>
          <w:rFonts w:ascii="Times New Roman" w:hAnsi="Times New Roman"/>
          <w:sz w:val="28"/>
          <w:szCs w:val="28"/>
        </w:rPr>
        <w:t>. Контроль за целевым использованием Учреждением ср</w:t>
      </w:r>
      <w:r w:rsidR="00476E2A">
        <w:rPr>
          <w:rFonts w:ascii="Times New Roman" w:hAnsi="Times New Roman"/>
          <w:sz w:val="28"/>
          <w:szCs w:val="28"/>
        </w:rPr>
        <w:t>едств бюджета</w:t>
      </w:r>
      <w:r w:rsidR="00476E2A" w:rsidRPr="00063F71">
        <w:rPr>
          <w:rFonts w:ascii="Times New Roman" w:hAnsi="Times New Roman"/>
          <w:sz w:val="28"/>
          <w:szCs w:val="28"/>
        </w:rPr>
        <w:t xml:space="preserve">, предоставленных в виде субсидии на финансовое обеспечение выполнения муниципального задания на оказание муниципальных услуг (выполнение работ), осуществляется </w:t>
      </w:r>
      <w:r w:rsidR="00EB50D4">
        <w:rPr>
          <w:rFonts w:ascii="Times New Roman" w:hAnsi="Times New Roman"/>
          <w:sz w:val="28"/>
          <w:szCs w:val="28"/>
        </w:rPr>
        <w:t>Управлением</w:t>
      </w:r>
      <w:r w:rsidR="00476E2A" w:rsidRPr="00063F71">
        <w:rPr>
          <w:rFonts w:ascii="Times New Roman" w:hAnsi="Times New Roman"/>
          <w:sz w:val="28"/>
          <w:szCs w:val="28"/>
        </w:rPr>
        <w:t>, и иными уполномоченными органами в соответствии с законодательством Российской Федерации.</w:t>
      </w:r>
    </w:p>
    <w:p w:rsidR="00476E2A" w:rsidRDefault="00476E2A" w:rsidP="00475A2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326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3F71">
        <w:rPr>
          <w:rFonts w:ascii="Times New Roman" w:hAnsi="Times New Roman"/>
          <w:sz w:val="28"/>
          <w:szCs w:val="28"/>
        </w:rPr>
        <w:t>Ответственность за нецелевое использование субсидии устанавливается в соответствии с законодательством Российской Федерации.</w:t>
      </w:r>
    </w:p>
    <w:p w:rsidR="000818B9" w:rsidRDefault="000818B9" w:rsidP="00475A2E">
      <w:pPr>
        <w:pStyle w:val="ConsPlusNormal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475A2E" w:rsidRDefault="00475A2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5A2E" w:rsidRDefault="00475A2E" w:rsidP="00475A2E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475A2E" w:rsidRDefault="00475A2E" w:rsidP="00475A2E">
      <w:pPr>
        <w:ind w:left="5245"/>
        <w:rPr>
          <w:sz w:val="28"/>
          <w:szCs w:val="28"/>
        </w:rPr>
      </w:pPr>
    </w:p>
    <w:p w:rsidR="00475A2E" w:rsidRDefault="00475A2E" w:rsidP="00475A2E">
      <w:pPr>
        <w:ind w:left="5245"/>
        <w:rPr>
          <w:sz w:val="28"/>
          <w:szCs w:val="28"/>
        </w:rPr>
      </w:pPr>
      <w:r>
        <w:rPr>
          <w:sz w:val="28"/>
          <w:szCs w:val="28"/>
        </w:rPr>
        <w:t>к приказу управления кул</w:t>
      </w:r>
      <w:r w:rsidR="00C92613">
        <w:rPr>
          <w:sz w:val="28"/>
          <w:szCs w:val="28"/>
        </w:rPr>
        <w:t xml:space="preserve">ьтуры Белохолуницкого района </w:t>
      </w:r>
      <w:r w:rsidR="00C92613">
        <w:rPr>
          <w:sz w:val="28"/>
          <w:szCs w:val="28"/>
        </w:rPr>
        <w:br/>
        <w:t xml:space="preserve">№155 </w:t>
      </w:r>
      <w:r>
        <w:rPr>
          <w:sz w:val="28"/>
          <w:szCs w:val="28"/>
        </w:rPr>
        <w:t>от</w:t>
      </w:r>
      <w:r w:rsidR="00C92613">
        <w:rPr>
          <w:sz w:val="28"/>
          <w:szCs w:val="28"/>
        </w:rPr>
        <w:t xml:space="preserve"> 20.12.2021</w:t>
      </w:r>
    </w:p>
    <w:p w:rsidR="00476E2A" w:rsidRDefault="00476E2A" w:rsidP="00475A2E">
      <w:pPr>
        <w:rPr>
          <w:b/>
          <w:sz w:val="28"/>
          <w:szCs w:val="28"/>
        </w:rPr>
      </w:pPr>
    </w:p>
    <w:p w:rsidR="00EB50D4" w:rsidRPr="00AB3EC7" w:rsidRDefault="00AB3EC7" w:rsidP="00EB50D4">
      <w:pPr>
        <w:jc w:val="center"/>
        <w:rPr>
          <w:b/>
          <w:sz w:val="28"/>
          <w:szCs w:val="28"/>
        </w:rPr>
      </w:pPr>
      <w:r w:rsidRPr="00AB3EC7">
        <w:rPr>
          <w:b/>
          <w:sz w:val="28"/>
          <w:szCs w:val="28"/>
        </w:rPr>
        <w:t>Порядок определения объема и условий предоставления из бюджета муниципального образования Белохолуницкий муниципальный район  субсидий на иные цели муниципальным бюджетным учреждениям, подведомственным управлению культуры Белохолуницкого района</w:t>
      </w:r>
    </w:p>
    <w:p w:rsidR="00EB50D4" w:rsidRDefault="00EB50D4" w:rsidP="00EB50D4">
      <w:pPr>
        <w:jc w:val="center"/>
        <w:rPr>
          <w:b/>
          <w:sz w:val="28"/>
          <w:szCs w:val="28"/>
        </w:rPr>
      </w:pPr>
    </w:p>
    <w:p w:rsidR="00EB50D4" w:rsidRDefault="00EB50D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26B4">
        <w:rPr>
          <w:sz w:val="28"/>
          <w:szCs w:val="28"/>
        </w:rPr>
        <w:t>Настоящий п</w:t>
      </w:r>
      <w:r>
        <w:rPr>
          <w:sz w:val="28"/>
          <w:szCs w:val="28"/>
        </w:rPr>
        <w:t xml:space="preserve">орядок </w:t>
      </w:r>
      <w:r w:rsidR="00A326B4">
        <w:rPr>
          <w:sz w:val="28"/>
          <w:szCs w:val="28"/>
        </w:rPr>
        <w:t xml:space="preserve">устанавливает правила </w:t>
      </w:r>
      <w:r>
        <w:rPr>
          <w:sz w:val="28"/>
          <w:szCs w:val="28"/>
        </w:rPr>
        <w:t>предоставления субсидий из бюджета муниципального района</w:t>
      </w:r>
      <w:r w:rsidR="00A3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бюджетным учреждениям на иные цели (далее - Порядок) разработан в соответствии с абзацами вторым и третьим пункта 1 статьи 78.1 Бюджетного кодекса Российской Федерации и устанавливает правила определения объема и условия предоставления муниципальным бюджетным учреждениям (далее - учреждения) субсидий на иные цели. </w:t>
      </w:r>
    </w:p>
    <w:p w:rsidR="00EB50D4" w:rsidRDefault="00EB50D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Иными целями в рамках настоящего Порядка являются не включаемые в субсидии на возмещение нормативных затрат на оказание муниципальных услуг (выполнение работ) в соответствии с муниципальным заданием расходы: </w:t>
      </w:r>
    </w:p>
    <w:p w:rsidR="00EB50D4" w:rsidRDefault="00EB50D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предоставление (получение) грантов; </w:t>
      </w:r>
    </w:p>
    <w:p w:rsidR="00EB50D4" w:rsidRDefault="00EB50D4" w:rsidP="00A326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реализацию мероприятий, источником финансового обеспечения которых являются субвенции, субсидии и иные межбюджетные трансферты из федерального и областного бюджетов;  </w:t>
      </w:r>
    </w:p>
    <w:p w:rsidR="00EB50D4" w:rsidRDefault="00A326B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0D4">
        <w:rPr>
          <w:sz w:val="28"/>
          <w:szCs w:val="28"/>
        </w:rPr>
        <w:t xml:space="preserve">) на приобретение основных средств, не включенных в нормативные затраты, связанные с выполнением муниципального задания; </w:t>
      </w:r>
    </w:p>
    <w:p w:rsidR="00EB50D4" w:rsidRDefault="00A326B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50D4">
        <w:rPr>
          <w:sz w:val="28"/>
          <w:szCs w:val="28"/>
        </w:rPr>
        <w:t xml:space="preserve">) на проведение капитального ремонта; </w:t>
      </w:r>
    </w:p>
    <w:p w:rsidR="00EB50D4" w:rsidRDefault="00A326B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0D4">
        <w:rPr>
          <w:sz w:val="28"/>
          <w:szCs w:val="28"/>
        </w:rPr>
        <w:t xml:space="preserve">) на выполнение мероприятий в случае выделения средств </w:t>
      </w:r>
      <w:r w:rsidR="00C220E7">
        <w:rPr>
          <w:sz w:val="28"/>
          <w:szCs w:val="28"/>
        </w:rPr>
        <w:br/>
      </w:r>
      <w:r w:rsidR="00EB50D4">
        <w:rPr>
          <w:sz w:val="28"/>
          <w:szCs w:val="28"/>
        </w:rPr>
        <w:t xml:space="preserve">из резервного фонда администрации муниципального района; </w:t>
      </w:r>
    </w:p>
    <w:p w:rsidR="00EB50D4" w:rsidRDefault="00A326B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50D4">
        <w:rPr>
          <w:sz w:val="28"/>
          <w:szCs w:val="28"/>
        </w:rPr>
        <w:t>) на иные затраты, не указанные в подпунктах 1-</w:t>
      </w:r>
      <w:r w:rsidR="00DB0815">
        <w:rPr>
          <w:sz w:val="28"/>
          <w:szCs w:val="28"/>
        </w:rPr>
        <w:t>5</w:t>
      </w:r>
      <w:r w:rsidR="00EB50D4">
        <w:rPr>
          <w:sz w:val="28"/>
          <w:szCs w:val="28"/>
        </w:rPr>
        <w:t xml:space="preserve"> настоящего пункта, осуществляемые в соответствии с решением органа местного самоуправления, осуществляющего полномочия у</w:t>
      </w:r>
      <w:r>
        <w:rPr>
          <w:sz w:val="28"/>
          <w:szCs w:val="28"/>
        </w:rPr>
        <w:t>чредителя бюджетного учреждения.</w:t>
      </w:r>
    </w:p>
    <w:p w:rsidR="00DB0815" w:rsidRDefault="00DB0815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иными затратами понимается возмещение затрат связанных с предоставлением бесплатных услуг муниципальными бюджетными учреждениями, несовершеннолетнему ребёнку участника специальной военной операции и лицу, его сопровождающего, </w:t>
      </w:r>
      <w:proofErr w:type="gramStart"/>
      <w:r>
        <w:rPr>
          <w:sz w:val="28"/>
          <w:szCs w:val="28"/>
        </w:rPr>
        <w:t>а  так</w:t>
      </w:r>
      <w:proofErr w:type="gramEnd"/>
      <w:r>
        <w:rPr>
          <w:sz w:val="28"/>
          <w:szCs w:val="28"/>
        </w:rPr>
        <w:t xml:space="preserve"> же родителям участника специальной военной операции, опекунам (попечителям)</w:t>
      </w:r>
      <w:r w:rsidR="004C4A48">
        <w:rPr>
          <w:sz w:val="28"/>
          <w:szCs w:val="28"/>
        </w:rPr>
        <w:t>, воспитывающим участника специальной военной операции до достижения .</w:t>
      </w:r>
      <w:r>
        <w:rPr>
          <w:sz w:val="28"/>
          <w:szCs w:val="28"/>
        </w:rPr>
        <w:t>им совершеннолетия</w:t>
      </w:r>
      <w:r w:rsidR="004C4A48">
        <w:rPr>
          <w:sz w:val="28"/>
          <w:szCs w:val="28"/>
        </w:rPr>
        <w:t>.</w:t>
      </w:r>
    </w:p>
    <w:p w:rsidR="004C4A48" w:rsidRDefault="004C4A48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Средства, полученные муниципальными бюджетными учреждениями, в соответствии с подпунктом 6 настоящего пункта, могут быть направлены на:</w:t>
      </w:r>
    </w:p>
    <w:p w:rsidR="004C4A48" w:rsidRDefault="004C4A48" w:rsidP="00EB50D4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укрепление  материально</w:t>
      </w:r>
      <w:proofErr w:type="gramEnd"/>
      <w:r>
        <w:rPr>
          <w:sz w:val="28"/>
          <w:szCs w:val="28"/>
        </w:rPr>
        <w:t>-технической базы учреждения;</w:t>
      </w:r>
    </w:p>
    <w:p w:rsidR="004C4A48" w:rsidRDefault="004C4A48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расходных материалов, канцтоваров.</w:t>
      </w:r>
    </w:p>
    <w:p w:rsidR="00EB50D4" w:rsidRDefault="00EB50D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Размер субсидии на иные цели определяется в соответствии </w:t>
      </w:r>
      <w:r w:rsidR="00C220E7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 w:rsidR="00C220E7">
        <w:rPr>
          <w:sz w:val="28"/>
          <w:szCs w:val="28"/>
        </w:rPr>
        <w:t xml:space="preserve">приказом управления культуры Белохолуницкого района, осуществляющего функции и полномочия учредителя муниципального бюджетного учреждения (далее – </w:t>
      </w:r>
      <w:r w:rsidR="00A326B4">
        <w:rPr>
          <w:sz w:val="28"/>
          <w:szCs w:val="28"/>
        </w:rPr>
        <w:t>Управление</w:t>
      </w:r>
      <w:r w:rsidR="00C220E7">
        <w:rPr>
          <w:sz w:val="28"/>
          <w:szCs w:val="28"/>
        </w:rPr>
        <w:t>), устанавливающим порядок определения объема и условия предоставления бюджетных учреждениям субсидий на иные цели</w:t>
      </w:r>
      <w:r>
        <w:rPr>
          <w:sz w:val="28"/>
          <w:szCs w:val="28"/>
        </w:rPr>
        <w:t xml:space="preserve">. </w:t>
      </w:r>
    </w:p>
    <w:p w:rsidR="00EB50D4" w:rsidRDefault="00EB50D4" w:rsidP="00EB50D4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учреждению субсидии на иные цели в течение финансового года осуществляется на основании соглашения о порядке </w:t>
      </w:r>
      <w:r w:rsidR="00C220E7">
        <w:rPr>
          <w:sz w:val="28"/>
          <w:szCs w:val="28"/>
        </w:rPr>
        <w:br/>
      </w:r>
      <w:r>
        <w:rPr>
          <w:sz w:val="28"/>
          <w:szCs w:val="28"/>
        </w:rPr>
        <w:t xml:space="preserve">и условиях предоставления субсидии на иные цели (далее – соглашение), заключаемого между учреждением и </w:t>
      </w:r>
      <w:r w:rsidR="00A326B4">
        <w:rPr>
          <w:sz w:val="28"/>
          <w:szCs w:val="28"/>
        </w:rPr>
        <w:t>Управлением.</w:t>
      </w:r>
    </w:p>
    <w:p w:rsidR="00EB50D4" w:rsidRDefault="00EB50D4" w:rsidP="00EB50D4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220E7">
        <w:rPr>
          <w:sz w:val="28"/>
          <w:szCs w:val="28"/>
        </w:rPr>
        <w:t>Типовая форма соглашения утверждается приказом управления культуры Белохолуницкого района</w:t>
      </w:r>
      <w:r>
        <w:rPr>
          <w:sz w:val="28"/>
          <w:szCs w:val="28"/>
        </w:rPr>
        <w:t xml:space="preserve"> </w:t>
      </w:r>
      <w:r w:rsidR="00C220E7">
        <w:rPr>
          <w:sz w:val="28"/>
          <w:szCs w:val="28"/>
        </w:rPr>
        <w:t>и содержит положения, установленные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учреждениям субсидий на иные цели</w:t>
      </w:r>
      <w:r w:rsidR="00B01552">
        <w:rPr>
          <w:sz w:val="28"/>
          <w:szCs w:val="28"/>
        </w:rPr>
        <w:t>»</w:t>
      </w:r>
      <w:r w:rsidR="00C220E7">
        <w:rPr>
          <w:sz w:val="28"/>
          <w:szCs w:val="28"/>
        </w:rPr>
        <w:t>.</w:t>
      </w:r>
    </w:p>
    <w:p w:rsidR="00EB50D4" w:rsidRDefault="00EB50D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Соглашение о предоставлении целевых субсидий заключается </w:t>
      </w:r>
      <w:r w:rsidR="00C220E7">
        <w:rPr>
          <w:sz w:val="28"/>
          <w:szCs w:val="28"/>
        </w:rPr>
        <w:br/>
      </w:r>
      <w:r>
        <w:rPr>
          <w:sz w:val="28"/>
          <w:szCs w:val="28"/>
        </w:rPr>
        <w:t>на теку</w:t>
      </w:r>
      <w:r w:rsidR="00C220E7">
        <w:rPr>
          <w:sz w:val="28"/>
          <w:szCs w:val="28"/>
        </w:rPr>
        <w:t>щий финансовый год не позднее 20</w:t>
      </w:r>
      <w:r>
        <w:rPr>
          <w:sz w:val="28"/>
          <w:szCs w:val="28"/>
        </w:rPr>
        <w:t xml:space="preserve"> рабочих дней после принятия Белохолуницкой районной Думой решения о бюджете муниципального образования Белохолуницкий муниципальный район на очередной финансовый год и плановый период (далее - решение о бюджете). </w:t>
      </w:r>
    </w:p>
    <w:p w:rsidR="00AB3EC7" w:rsidRDefault="00EB50D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соглашения о внесении изменений в Соглашение </w:t>
      </w:r>
      <w:r w:rsidR="00C220E7">
        <w:rPr>
          <w:sz w:val="28"/>
          <w:szCs w:val="28"/>
        </w:rPr>
        <w:br/>
      </w:r>
      <w:r>
        <w:rPr>
          <w:sz w:val="28"/>
          <w:szCs w:val="28"/>
        </w:rPr>
        <w:t xml:space="preserve">о предоставлении субсидии на иные цели составляются и утверждаются </w:t>
      </w:r>
      <w:r w:rsidR="00C220E7">
        <w:rPr>
          <w:sz w:val="28"/>
          <w:szCs w:val="28"/>
        </w:rPr>
        <w:br/>
      </w:r>
      <w:r>
        <w:rPr>
          <w:sz w:val="28"/>
          <w:szCs w:val="28"/>
        </w:rPr>
        <w:t>не позднее 5 рабочий дней с даты внесения изменений в решение о бюджете.</w:t>
      </w:r>
    </w:p>
    <w:p w:rsidR="00EB50D4" w:rsidRDefault="00AB3EC7" w:rsidP="00EB50D4">
      <w:pPr>
        <w:pStyle w:val="Default"/>
        <w:ind w:firstLine="708"/>
        <w:jc w:val="both"/>
        <w:rPr>
          <w:sz w:val="28"/>
          <w:szCs w:val="28"/>
        </w:rPr>
      </w:pPr>
      <w:r w:rsidRPr="00B11169">
        <w:rPr>
          <w:sz w:val="28"/>
          <w:szCs w:val="28"/>
        </w:rPr>
        <w:t xml:space="preserve">Соглашение на реализацию мероприятий, проводимых в рамках </w:t>
      </w:r>
      <w:r>
        <w:rPr>
          <w:sz w:val="28"/>
          <w:szCs w:val="28"/>
        </w:rPr>
        <w:t xml:space="preserve">национальных, </w:t>
      </w:r>
      <w:r w:rsidRPr="00B11169">
        <w:rPr>
          <w:sz w:val="28"/>
          <w:szCs w:val="28"/>
        </w:rPr>
        <w:t>региональных проектов, формируется в государственной интегрированной информационной системе управления общественными финансами «Электронный бюджет»</w:t>
      </w:r>
      <w:r w:rsidR="00EB50D4">
        <w:rPr>
          <w:sz w:val="28"/>
          <w:szCs w:val="28"/>
        </w:rPr>
        <w:t xml:space="preserve"> </w:t>
      </w:r>
    </w:p>
    <w:p w:rsidR="00EB50D4" w:rsidRDefault="00EB50D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Предоставление целевых субсидий осуществляется </w:t>
      </w:r>
      <w:r w:rsidR="006A05AA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</w:t>
      </w:r>
      <w:r w:rsidR="00C220E7">
        <w:rPr>
          <w:sz w:val="28"/>
          <w:szCs w:val="28"/>
        </w:rPr>
        <w:br/>
      </w:r>
      <w:r>
        <w:rPr>
          <w:sz w:val="28"/>
          <w:szCs w:val="28"/>
        </w:rPr>
        <w:t xml:space="preserve">в пределах бюджетных ассигнований, предусмотренных на указанные цели </w:t>
      </w:r>
      <w:r w:rsidR="00C220E7">
        <w:rPr>
          <w:sz w:val="28"/>
          <w:szCs w:val="28"/>
        </w:rPr>
        <w:br/>
      </w:r>
      <w:r>
        <w:rPr>
          <w:sz w:val="28"/>
          <w:szCs w:val="28"/>
        </w:rPr>
        <w:t xml:space="preserve">в решении о бюджете и утвержденных лимитов бюджетных обязательств. </w:t>
      </w:r>
    </w:p>
    <w:p w:rsidR="00EB50D4" w:rsidRDefault="00EB50D4" w:rsidP="00EB50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Не использованные в текущем финансовом году остатки средств целевых субсидий, предоставленных </w:t>
      </w:r>
      <w:proofErr w:type="gramStart"/>
      <w:r>
        <w:rPr>
          <w:sz w:val="28"/>
          <w:szCs w:val="28"/>
        </w:rPr>
        <w:t>учреждению из бюджета муниципального района</w:t>
      </w:r>
      <w:proofErr w:type="gramEnd"/>
      <w:r>
        <w:rPr>
          <w:sz w:val="28"/>
          <w:szCs w:val="28"/>
        </w:rPr>
        <w:t xml:space="preserve"> подлежат перечислению учреждениями в бюджет муниципального района. </w:t>
      </w:r>
    </w:p>
    <w:p w:rsidR="00C220E7" w:rsidRDefault="00EB50D4" w:rsidP="00C220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средств целевых субсидий, не использованные в текущем финансовом году, могут использоваться учреждениями в очередном финансовом году при наличии потребности в направлении их на те же цели </w:t>
      </w:r>
      <w:r w:rsidR="00C220E7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решением учредителя. </w:t>
      </w:r>
    </w:p>
    <w:p w:rsidR="00EB50D4" w:rsidRDefault="00EB50D4" w:rsidP="00C220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Контроль за целевым использованием средств целевых субсидий, </w:t>
      </w:r>
      <w:r w:rsidR="00C220E7">
        <w:rPr>
          <w:sz w:val="28"/>
          <w:szCs w:val="28"/>
        </w:rPr>
        <w:br/>
      </w:r>
      <w:r>
        <w:rPr>
          <w:sz w:val="28"/>
          <w:szCs w:val="28"/>
        </w:rPr>
        <w:t>а также за соблюдением условий их предоставления осуществляется учредителем.</w:t>
      </w:r>
    </w:p>
    <w:p w:rsidR="00B01552" w:rsidRPr="00C220E7" w:rsidRDefault="00B01552" w:rsidP="00B01552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B01552" w:rsidRPr="00C220E7" w:rsidSect="001B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7F7"/>
    <w:multiLevelType w:val="multilevel"/>
    <w:tmpl w:val="45DEB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74511F6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605336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586914"/>
    <w:multiLevelType w:val="hybridMultilevel"/>
    <w:tmpl w:val="83746E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34A43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BF1592"/>
    <w:multiLevelType w:val="multilevel"/>
    <w:tmpl w:val="4BA43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0015EF"/>
    <w:multiLevelType w:val="multilevel"/>
    <w:tmpl w:val="49D4D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6B3AFD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B75D0F"/>
    <w:multiLevelType w:val="hybridMultilevel"/>
    <w:tmpl w:val="7458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E6"/>
    <w:rsid w:val="00042232"/>
    <w:rsid w:val="000818B9"/>
    <w:rsid w:val="000A2BB5"/>
    <w:rsid w:val="000F143A"/>
    <w:rsid w:val="001B2FFA"/>
    <w:rsid w:val="001F0670"/>
    <w:rsid w:val="0040114B"/>
    <w:rsid w:val="00475A2E"/>
    <w:rsid w:val="00476E2A"/>
    <w:rsid w:val="004C4A48"/>
    <w:rsid w:val="005A106F"/>
    <w:rsid w:val="006971AC"/>
    <w:rsid w:val="006A05AA"/>
    <w:rsid w:val="006E086B"/>
    <w:rsid w:val="00706FEB"/>
    <w:rsid w:val="00711812"/>
    <w:rsid w:val="00747FE6"/>
    <w:rsid w:val="007A2385"/>
    <w:rsid w:val="007B3F59"/>
    <w:rsid w:val="009622F4"/>
    <w:rsid w:val="00A15B0B"/>
    <w:rsid w:val="00A326B4"/>
    <w:rsid w:val="00AB3EC7"/>
    <w:rsid w:val="00AF4C21"/>
    <w:rsid w:val="00B01552"/>
    <w:rsid w:val="00B25B1C"/>
    <w:rsid w:val="00BC29A8"/>
    <w:rsid w:val="00BC7FB6"/>
    <w:rsid w:val="00C17185"/>
    <w:rsid w:val="00C220E7"/>
    <w:rsid w:val="00C8072B"/>
    <w:rsid w:val="00C92613"/>
    <w:rsid w:val="00CF6259"/>
    <w:rsid w:val="00D57513"/>
    <w:rsid w:val="00DB0815"/>
    <w:rsid w:val="00DE1C37"/>
    <w:rsid w:val="00E46E37"/>
    <w:rsid w:val="00EB50D4"/>
    <w:rsid w:val="00F10534"/>
    <w:rsid w:val="00F85EF5"/>
    <w:rsid w:val="00F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A501"/>
  <w15:docId w15:val="{97940CD4-D385-4CDC-AC1F-7F9907A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uiPriority w:val="99"/>
    <w:rsid w:val="00747FE6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747FE6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List Paragraph"/>
    <w:basedOn w:val="a"/>
    <w:uiPriority w:val="34"/>
    <w:qFormat/>
    <w:rsid w:val="00706FE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A2B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2BB5"/>
    <w:pPr>
      <w:widowControl w:val="0"/>
      <w:shd w:val="clear" w:color="auto" w:fill="FFFFFF"/>
      <w:spacing w:before="1200" w:after="42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1F06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670"/>
    <w:pPr>
      <w:widowControl w:val="0"/>
      <w:shd w:val="clear" w:color="auto" w:fill="FFFFFF"/>
      <w:spacing w:line="317" w:lineRule="exact"/>
      <w:ind w:hanging="400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AF4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F4C21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rsid w:val="00C171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71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76E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A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UserOKses</dc:creator>
  <cp:lastModifiedBy>User1</cp:lastModifiedBy>
  <cp:revision>4</cp:revision>
  <dcterms:created xsi:type="dcterms:W3CDTF">2024-06-18T10:43:00Z</dcterms:created>
  <dcterms:modified xsi:type="dcterms:W3CDTF">2024-06-20T08:02:00Z</dcterms:modified>
</cp:coreProperties>
</file>